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Axiom2 卡顿与黑白屏</w:t>
        <w:br/>
        <w:t>修复实施方案</w:t>
      </w:r>
    </w:p>
    <w:p>
      <w:pPr>
        <w:pStyle w:val="Subtitle"/>
      </w:pPr>
      <w:r>
        <w:t>会话切换 · 设置页启动 · WebSocket 订阅</w:t>
        <w:br/>
        <w:t>版本 1.0  |  2026-10-18  |  不改变用户体验和现有交互</w:t>
      </w:r>
    </w:p>
    <w:p>
      <w:pPr>
        <w:pStyle w:val="Heading1"/>
      </w:pPr>
      <w:r>
        <w:t>1. 修复结论与硬约束</w:t>
      </w:r>
    </w:p>
    <w:p>
      <w:r>
        <w:t>修复目标：消除切换会话时长时间卡住、点击设置页后持续空白及异常黑白闪屏，并修复连接正常却操作不可用的问题。界面、内容、路由和操作规则保持现状，只调整内部启动顺序、状态判断、计算、读取和传输。</w:t>
      </w:r>
    </w:p>
    <w:p>
      <w:r>
        <w:t>本次依据只读接口可见源码制定方案，已定位多条能够导致或放大故障的路径；没有运行用户实例、抓取浏览器性能轨迹或验证安装包。因此，下表中的代码问题与用户现场的最终根因分开表述，性能数字均为建议验收目标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DADF"/>
          <w:left w:val="single" w:sz="4" w:color="D7DADF"/>
          <w:bottom w:val="single" w:sz="4" w:color="D7DADF"/>
          <w:right w:val="single" w:sz="4" w:color="D7DADF"/>
          <w:insideH w:val="single" w:sz="4" w:color="D7DADF"/>
          <w:insideV w:val="single" w:sz="4" w:color="D7DADF"/>
        </w:tblBorders>
      </w:tblPr>
      <w:tblGrid>
        <w:gridCol w:w="1685"/>
        <w:gridCol w:w="6667"/>
        <w:gridCol w:w="1728"/>
      </w:tblGrid>
      <w:tr>
        <w:trPr>
          <w:tblHeader w:val="true"/>
          <w:cantSplit/>
        </w:trPr>
        <w:tc>
          <w:tcPr>
            <w:tcW w:type="dxa" w:w="1685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20"/>
              </w:rPr>
              <w:t>问题</w:t>
            </w:r>
          </w:p>
        </w:tc>
        <w:tc>
          <w:tcPr>
            <w:tcW w:type="dxa" w:w="6667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20"/>
              </w:rPr>
              <w:t>源码结论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20"/>
              </w:rPr>
              <w:t>处理顺序</w:t>
            </w:r>
          </w:p>
        </w:tc>
      </w:tr>
      <w:tr>
        <w:trPr>
          <w:cantSplit/>
        </w:trPr>
        <w:tc>
          <w:tcPr>
            <w:tcW w:type="dxa" w:w="168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设置页整页空白</w:t>
            </w:r>
          </w:p>
        </w:tc>
        <w:tc>
          <w:tcPr>
            <w:tcW w:type="dxa" w:w="666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挂载前顺序等待页面模块与 CSS；导入失败会中断启动；首帧主题底色未提前设置。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先修启动路径</w:t>
            </w:r>
          </w:p>
        </w:tc>
      </w:tr>
      <w:tr>
        <w:trPr>
          <w:cantSplit/>
        </w:trPr>
        <w:tc>
          <w:tcPr>
            <w:tcW w:type="dxa" w:w="168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WebSocket 操作假死</w:t>
            </w:r>
          </w:p>
        </w:tc>
        <w:tc>
          <w:tcPr>
            <w:tcW w:type="dxa" w:w="666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订阅错误污染连接文案；主按钮用文案判断连接；空会话可触发无效订阅。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先修状态与作用域</w:t>
            </w:r>
          </w:p>
        </w:tc>
      </w:tr>
      <w:tr>
        <w:trPr>
          <w:cantSplit/>
        </w:trPr>
        <w:tc>
          <w:tcPr>
            <w:tcW w:type="dxa" w:w="168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切换会话很慢</w:t>
            </w:r>
          </w:p>
        </w:tc>
        <w:tc>
          <w:tcPr>
            <w:tcW w:type="dxa" w:w="666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整段视图重挂、重复解析/序列化、同步历史投影及完整快照发送存在叠加成本。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分段测量后优化</w:t>
            </w:r>
          </w:p>
        </w:tc>
      </w:tr>
      <w:tr>
        <w:trPr>
          <w:cantSplit/>
        </w:trPr>
        <w:tc>
          <w:tcPr>
            <w:tcW w:type="dxa" w:w="168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黑→白的准确来源</w:t>
            </w:r>
          </w:p>
        </w:tc>
        <w:tc>
          <w:tcPr>
            <w:tcW w:type="dxa" w:w="666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尚未证明是默认画布、资源失败、服务等待或 WebView 渲染故障。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按阶段取证，不猜测 GPU 原因</w:t>
            </w:r>
          </w:p>
        </w:tc>
      </w:tr>
    </w:tbl>
    <w:p>
      <w:pPr>
        <w:spacing w:after="0"/>
      </w:pPr>
    </w:p>
    <w:p>
      <w:pPr>
        <w:pStyle w:val="Heading2"/>
      </w:pPr>
      <w:r>
        <w:t>不可改变的验收契约</w:t>
      </w:r>
    </w:p>
    <w:p>
      <w:pPr>
        <w:ind w:left="144" w:hanging="144"/>
      </w:pPr>
      <w:r>
        <w:t>•  设置仍用现有链接和 URL；保留前进、后退、刷新、返回及浏览器/桌面各自的新窗口规则，不改成 SPA 或弹窗。</w:t>
      </w:r>
    </w:p>
    <w:p>
      <w:pPr>
        <w:ind w:left="144" w:hanging="144"/>
      </w:pPr>
      <w:r>
        <w:t>•  会话选择、主/子会话查看、草稿、焦点、发送/停止、快捷键、滚动跟随、展开、批注、复制、工具详情与原始会话保持原样。</w:t>
      </w:r>
    </w:p>
    <w:p>
      <w:pPr>
        <w:ind w:left="144" w:hanging="144"/>
      </w:pPr>
      <w:r>
        <w:t>•  消息范围、顺序、文本、Markdown、高亮、压缩卡片与全文获取规则保持原样；不通过分页、虚拟化、裁剪思考或降低正文上限换速度。</w:t>
      </w:r>
    </w:p>
    <w:p>
      <w:pPr>
        <w:ind w:left="144" w:hanging="144"/>
      </w:pPr>
      <w:r>
        <w:t>•  不新增加载页、骨架屏、遮罩、重试按钮、提示步骤或用户设置。故障信息接入已有错误区域；恢复不能清掉未保存输入。</w:t>
      </w:r>
    </w:p>
    <w:p>
      <w:r>
        <w:t>交付性质：这是编码与验收文档，不代表源码已经修改或性能验收已经通过。文内 [E01] 等编号对应末尾文件、精确行段和 revision。</w:t>
      </w:r>
    </w:p>
    <w:p>
      <w:pPr>
        <w:pStyle w:val="Heading1"/>
      </w:pPr>
      <w:r>
        <w:t>2. 设置页：先修挂载前的空白路径</w:t>
      </w:r>
    </w:p>
    <w:p>
      <w:pPr>
        <w:pStyle w:val="Heading2"/>
      </w:pPr>
      <w:r>
        <w:t>2.1 已确认的启动链路</w:t>
      </w:r>
    </w:p>
    <w:p>
      <w:r>
        <w:t>工作台的设置入口是 /settings.html 原生链接，跳转后新 HTML 的 root 为空。main.tsx 先 await 当前页面模块，再依次 await action-icons、icon-geometry、mobile 三份样式，随后才 createRoot/render；connect() 在后面以 void 调用。[E01–E03]</w:t>
      </w:r>
    </w:p>
    <w:p>
      <w:r>
        <w:t>Settings 自身可以用 empty 配置绘制现有侧栏、标题与“正在读取配置…”文本，没有等待会话历史后才渲染。因此，连布局都没有出现属于文档/模块/样式/挂载阶段；布局已出现但配置迟迟未到，才进入连接与 configuration 订阅排查。[E04]</w:t>
      </w:r>
    </w:p>
    <w:p>
      <w:r>
        <w:t>任一挂载前动态 import reject，会使后续 render 和 connect 都不执行。仅给 React 页面加 ErrorBoundary 捕获不到这类顶层模块失败。HTML 中 theme-color 也不能替代实际页面背景；现有深色底色等到 settings.css → models.css 生效才应用。[E01、E02、E05]</w:t>
      </w:r>
    </w:p>
    <w:p>
      <w:pPr>
        <w:pStyle w:val="Heading2"/>
      </w:pPr>
      <w:r>
        <w:t>2.2 最小实施方案</w:t>
      </w:r>
    </w:p>
    <w:p>
      <w:pPr>
        <w:ind w:left="144" w:hanging="144"/>
      </w:pPr>
      <w:r>
        <w:t>•  保持全部现有 &lt;a href&gt;。核对真实构建入口、产物 HTML 和资源清单；当前只读结果没有完整暴露主 Vite 配置，不能使用 artifacts 中旧配置代替。</w:t>
      </w:r>
    </w:p>
    <w:p>
      <w:pPr>
        <w:ind w:left="144" w:hanging="144"/>
      </w:pPr>
      <w:r>
        <w:t>•  在实际运行 HTML 的 head 提前设置现有主题的极小基础样式：html 的 color-scheme/background，以及 body 的 margin/background/color。颜色从当前主题同源生成，最终页面外观不变。</w:t>
      </w:r>
    </w:p>
    <w:p>
      <w:pPr>
        <w:ind w:left="144" w:hanging="144"/>
      </w:pPr>
      <w:r>
        <w:t>•  将公共覆盖样式组织为一个确定顺序的入口，保持“页面样式 → action-icons → icon-geometry → mobile”的层叠关系。根据实际构建产物提前声明必需 CSS/模块；不要盲目 Promise.all 导入 CSS 破坏覆盖顺序。</w:t>
      </w:r>
    </w:p>
    <w:p>
      <w:pPr>
        <w:ind w:left="144" w:hanging="144"/>
      </w:pPr>
      <w:r>
        <w:t>•  为 bootstrap 的模块和样式准备建立阶段捕获与诊断。瞬时资源失败如需自动恢复，仅在首次 React commit 前最多一次，保留 URL 与历史条目；不得对已进入编辑态的页面自动刷新。</w:t>
      </w:r>
    </w:p>
    <w:p>
      <w:pPr>
        <w:ind w:left="144" w:hanging="144"/>
      </w:pPr>
      <w:r>
        <w:t>•  持久性资源缺失必须修复打包/静态资源一致性。若引入稳定入口外壳，应复用现有设置 DOM/CSS 与错误位置；不能新增故障页面，也不能把“改成同色空白”当作问题解决。</w:t>
      </w:r>
    </w:p>
    <w:p>
      <w:pPr>
        <w:ind w:left="144" w:hanging="144"/>
      </w:pPr>
      <w:r>
        <w:t>•  连接可与资源准备并行启动，但不作为首次 render 的 await 前置条件，也不提前执行配置写入。是否采用以首帧与配置就绪测量结果为准。</w:t>
      </w:r>
    </w:p>
    <w:p>
      <w:pPr>
        <w:pStyle w:val="Heading2"/>
      </w:pPr>
      <w:r>
        <w:t>2.3 桌面边界与现场定位</w:t>
      </w:r>
    </w:p>
    <w:p>
      <w:r>
        <w:t>桌面 WebView 允许同源导航；设置链接本身不等同于 controls/open 的原生视图切换。原生首次 open 会创建、隐藏、布局后显示工作台，但没有文档 ready 门禁，这只能列为首次显示的待验证风险，不能写成每次进入设置都会触发 hide/show。[E06]</w:t>
      </w:r>
    </w:p>
    <w:p>
      <w:r>
        <w:t>需记录点击、document 导航、模块/CSS 完成、React 首次 commit、首个完整布局帧、WS open、configuration 快照七个阶段。同步保留帧截图，判断黑/白发生在 Web 内容绘制前、资源失败后还是连接等待中。若完整资源与 React 均正常而仍整窗白屏，再检查 WebView 进程退出/渲染错误；不预先关闭 GPU 或变更窗口行为。</w:t>
      </w:r>
    </w:p>
    <w:p>
      <w:pPr>
        <w:pStyle w:val="Heading1"/>
      </w:pPr>
      <w:r>
        <w:t>3. WebSocket：修复订阅状态与操作假死</w:t>
      </w:r>
    </w:p>
    <w:p>
      <w:pPr>
        <w:pStyle w:val="Heading2"/>
      </w:pPr>
      <w:r>
        <w:t>3.1 确定问题与归因边界</w:t>
      </w:r>
    </w:p>
    <w:p>
      <w:r>
        <w:t>WebSocket 相关代码存在问题，但现有证据不能直接证明物理连接频繁断开。应区分连接事实、单次请求、订阅是否新鲜和数据是否完整。当前 subscribe 报错会改全局状态文案；Composer 又把“已连接本地服务”字符串作为主按钮连接门槛。后续普通响应并不必然恢复该文案，因而可能出现网络仍通、按钮持续不可用。[E07、E08]</w:t>
      </w:r>
    </w:p>
    <w:p>
      <w:r>
        <w:t>工作区选择允许 sessionId 为空，而 AgentThread/useReadReceipt 仅判断 scope 对象存在就订阅。空 sessionId 会触发服务端输入校验错误，足以启动上述错误链，不需要先发生网络断线。[E03、E09–E11]</w:t>
      </w:r>
    </w:p>
    <w:p>
      <w:r>
        <w:t>服务端完整 messages 快照还会经过统一发送队列。当前有排队上限与背压，不是无限队列；但单帧可以超过普通 4 MiB 预算，编码同步进行，发送等待回调后才推进后续项。它能放大会话等待，尚不能凭源码给出现场等待秒数。[E12、E13]</w:t>
      </w:r>
    </w:p>
    <w:p>
      <w:pPr>
        <w:pStyle w:val="Heading2"/>
      </w:pPr>
      <w:r>
        <w:t>3.2 第一批必须修改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DADF"/>
          <w:left w:val="single" w:sz="4" w:color="D7DADF"/>
          <w:bottom w:val="single" w:sz="4" w:color="D7DADF"/>
          <w:right w:val="single" w:sz="4" w:color="D7DADF"/>
          <w:insideH w:val="single" w:sz="4" w:color="D7DADF"/>
          <w:insideV w:val="single" w:sz="4" w:color="D7DADF"/>
        </w:tblBorders>
      </w:tblPr>
      <w:tblGrid>
        <w:gridCol w:w="1872"/>
        <w:gridCol w:w="8208"/>
      </w:tblGrid>
      <w:tr>
        <w:trPr>
          <w:tblHeader w:val="true"/>
          <w:cantSplit/>
        </w:trPr>
        <w:tc>
          <w:tcPr>
            <w:tcW w:type="dxa" w:w="1872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20"/>
              </w:rPr>
              <w:t>修改点</w:t>
            </w:r>
          </w:p>
        </w:tc>
        <w:tc>
          <w:tcPr>
            <w:tcW w:type="dxa" w:w="8208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20"/>
              </w:rPr>
              <w:t>实施要求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发送/停止按钮</w:t>
            </w:r>
          </w:p>
        </w:tc>
        <w:tc>
          <w:tcPr>
            <w:tcW w:type="dxa" w:w="820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使用已有 useConnectionState().connected 表示连接事实；保留其余原条件。不得新增 historyReady/allSubscriptionsReady 门禁。鼠标与 Enter 使用一致的既有可用规则。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无效订阅</w:t>
            </w:r>
          </w:p>
        </w:tc>
        <w:tc>
          <w:tcPr>
            <w:tcW w:type="dxa" w:w="820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session 专属 agent/tasks/messages/thread 等订阅必须先验证非空 sessionId；只阻止无效请求，不自动创建新会话、不改变工作区选择结果。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错误作用域</w:t>
            </w:r>
          </w:p>
        </w:tc>
        <w:tc>
          <w:tcPr>
            <w:tcW w:type="dxa" w:w="820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单个订阅失败存于对应 scope/attempt；连接文案用于展示，连接事实由连接状态维护。不得把业务校验失败变为“全局离线”。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现有错误展示</w:t>
            </w:r>
          </w:p>
        </w:tc>
        <w:tc>
          <w:tcPr>
            <w:tcW w:type="dxa" w:w="820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主工作台使用已有错误区域与关闭操作，设置页使用已有 overview-message；旧会话的晚到错误不能覆盖当前页面，用户主动操作错误优先。</w:t>
            </w:r>
          </w:p>
        </w:tc>
      </w:tr>
    </w:tbl>
    <w:p>
      <w:pPr>
        <w:spacing w:after="0"/>
      </w:pPr>
    </w:p>
    <w:p>
      <w:pPr>
        <w:pStyle w:val="Heading2"/>
      </w:pPr>
      <w:r>
        <w:t>3.3 恢复与重试必须有界</w:t>
      </w:r>
    </w:p>
    <w:p>
      <w:r>
        <w:t>复用现有 connection generation、subscribe requestId 和 wire scope，为本次订阅维护 pending/ready/failed。只有当前 generation、当前 requestId 且仍有订阅所有者的结果才可提交。remote 引用计数、wireScope 合并和已有重连流程继续使用，不另起一套连接管理器。</w:t>
      </w:r>
    </w:p>
    <w:p>
      <w:r>
        <w:t>建议只对明确 HISTORY_BUSY 或本次订阅的暂时不确定超时自动补偿一次，退避初值 500 ms，均为内部参数。真正断线交给既有 onopen 重订阅。INVALID_INPUT、SCOPE_MISMATCH、SESSION_FILE_ERROR 不自动重试；队列满需返回类型化错误，不能解析中文文案。</w:t>
      </w:r>
    </w:p>
    <w:p>
      <w:r>
        <w:t>成功、离开、引用归零、attempt 被替换和连接关闭都清理定时器。当前 attempt 的晚到完整成功仍应恢复就绪；旧 attempt 的响应必须丢弃。不得自动重试发送消息、停止、删除、重发或配置写入，不通过加长超时和频繁重连掩盖阻塞。</w:t>
      </w:r>
    </w:p>
    <w:p>
      <w:pPr>
        <w:pStyle w:val="Heading1"/>
      </w:pPr>
      <w:r>
        <w:t>4. 会话状态：完整性、取消与显示规则</w:t>
      </w:r>
    </w:p>
    <w:p>
      <w:pPr>
        <w:pStyle w:val="Heading2"/>
      </w:pPr>
      <w:r>
        <w:t>4.1 三种状态不可混用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DADF"/>
          <w:left w:val="single" w:sz="4" w:color="D7DADF"/>
          <w:bottom w:val="single" w:sz="4" w:color="D7DADF"/>
          <w:right w:val="single" w:sz="4" w:color="D7DADF"/>
          <w:insideH w:val="single" w:sz="4" w:color="D7DADF"/>
          <w:insideV w:val="single" w:sz="4" w:color="D7DADF"/>
        </w:tblBorders>
      </w:tblPr>
      <w:tblGrid>
        <w:gridCol w:w="2131"/>
        <w:gridCol w:w="3773"/>
        <w:gridCol w:w="4176"/>
      </w:tblGrid>
      <w:tr>
        <w:trPr>
          <w:tblHeader w:val="true"/>
          <w:cantSplit/>
        </w:trPr>
        <w:tc>
          <w:tcPr>
            <w:tcW w:type="dxa" w:w="2131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  <w:tc>
          <w:tcPr>
            <w:tcW w:type="dxa" w:w="3773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20"/>
              </w:rPr>
              <w:t>它能证明什么</w:t>
            </w:r>
          </w:p>
        </w:tc>
        <w:tc>
          <w:tcPr>
            <w:tcW w:type="dxa" w:w="4176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20"/>
              </w:rPr>
              <w:t>它不能替代什么</w:t>
            </w:r>
          </w:p>
        </w:tc>
      </w:tr>
      <w:tr>
        <w:trPr>
          <w:cantSplit/>
        </w:trPr>
        <w:tc>
          <w:tcPr>
            <w:tcW w:type="dxa" w:w="213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connected</w:t>
            </w:r>
          </w:p>
        </w:tc>
        <w:tc>
          <w:tcPr>
            <w:tcW w:type="dxa" w:w="377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当前传输连接是否可用</w:t>
            </w:r>
          </w:p>
        </w:tc>
        <w:tc>
          <w:tcPr>
            <w:tcW w:type="dxa" w:w="4176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不等于会话完整、不等于订阅成功</w:t>
            </w:r>
          </w:p>
        </w:tc>
      </w:tr>
      <w:tr>
        <w:trPr>
          <w:cantSplit/>
        </w:trPr>
        <w:tc>
          <w:tcPr>
            <w:tcW w:type="dxa" w:w="213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已有目标会话缓存</w:t>
            </w:r>
          </w:p>
        </w:tc>
        <w:tc>
          <w:tcPr>
            <w:tcW w:type="dxa" w:w="377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允许按现有规则展示该会话已有内容</w:t>
            </w:r>
          </w:p>
        </w:tc>
        <w:tc>
          <w:tcPr>
            <w:tcW w:type="dxa" w:w="4176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不等于本次订阅已确认，不可提前标已读</w:t>
            </w:r>
          </w:p>
        </w:tc>
      </w:tr>
      <w:tr>
        <w:trPr>
          <w:cantSplit/>
        </w:trPr>
        <w:tc>
          <w:tcPr>
            <w:tcW w:type="dxa" w:w="213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当前 attempt 完整 ready</w:t>
            </w:r>
          </w:p>
        </w:tc>
        <w:tc>
          <w:tcPr>
            <w:tcW w:type="dxa" w:w="377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正文与 thread 的完整结果已确认</w:t>
            </w:r>
          </w:p>
        </w:tc>
        <w:tc>
          <w:tcPr>
            <w:tcW w:type="dxa" w:w="4176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不能替代 agent 的独立新鲜状态</w:t>
            </w:r>
          </w:p>
        </w:tc>
      </w:tr>
    </w:tbl>
    <w:p>
      <w:pPr>
        <w:spacing w:after="0"/>
      </w:pPr>
    </w:p>
    <w:p>
      <w:r>
        <w:t>冷会话没有目标数据时，无法在不增加新 UI、不伪造内容的前提下承诺立刻显示正文。修复要求是服务不被阻塞、错误可以收敛、结果能够正确完成；绝不能在 B 的标题下短暂保留 A 的正文来制造“很快”的感觉。[E09]</w:t>
      </w:r>
    </w:p>
    <w:p>
      <w:pPr>
        <w:pStyle w:val="Heading2"/>
      </w:pPr>
      <w:r>
        <w:t>4.2 必须复用的提交身份</w:t>
      </w:r>
    </w:p>
    <w:p>
      <w:pPr>
        <w:spacing w:after="120" w:line="252" w:lineRule="auto"/>
      </w:pPr>
      <w:r>
        <w:rPr>
          <w:rFonts w:ascii="DejaVu Sans Mono" w:hAnsi="DejaVu Sans Mono" w:eastAsia="Noto Sans CJK SC"/>
          <w:sz w:val="17"/>
        </w:rPr>
        <w:t>subscription[wireScope] = {</w:t>
        <w:br/>
        <w:t xml:space="preserve">  generation, requestId, phase, retriesLeft, error, retryTimer</w:t>
        <w:br/>
        <w:t>}</w:t>
        <w:br/>
        <w:t>accept(result) only if:</w:t>
        <w:br/>
        <w:t xml:space="preserve">  sameGeneration &amp;&amp; sameRequestId &amp;&amp; hasCurrentOwner</w:t>
      </w:r>
    </w:p>
    <w:p>
      <w:r>
        <w:t>以上为拟议内部结构，不是已有 API 声明。attempt 按 wire scope 存储：TaskViews 可以同时打开多个会话，不能用一个全局 currentSession 处理所有订阅。A→B→A 时两个 A 的订阅不是同一次尝试，单看 remote.has(A) 不足以接纳结果。</w:t>
      </w:r>
    </w:p>
    <w:p>
      <w:pPr>
        <w:ind w:left="144" w:hanging="144"/>
      </w:pPr>
      <w:r>
        <w:t>•  旧协议完整 snapshot 与当前订阅回执配对；superseded 回执不能标为成功。命令 Promise 超时清理不应让当前订阅失去接纳晚到完整成功的能力。</w:t>
      </w:r>
    </w:p>
    <w:p>
      <w:pPr>
        <w:ind w:left="144" w:hanging="144"/>
      </w:pPr>
      <w:r>
        <w:t>•  收到单条 delta、thread 单项、agent、ping 或已有缓存，都不能单独确认冷会话历史完整。完整集合水位与单消息水位继续区分。</w:t>
      </w:r>
    </w:p>
    <w:p>
      <w:pPr>
        <w:ind w:left="144" w:hanging="144"/>
      </w:pPr>
      <w:r>
        <w:t>•  目标会话已有缓存按原机制显示；后续原子提交不得把较新的流式输出退回旧值。连接重建与服务 streamId 变化必须使过期新鲜度失效。</w:t>
      </w:r>
    </w:p>
    <w:p>
      <w:pPr>
        <w:ind w:left="144" w:hanging="144"/>
      </w:pPr>
      <w:r>
        <w:t>•  保留结果已读的可见性、焦点、滚动底部、runId/状态、tasks 呈现和当前 generation 检查。缓存命中不提前已读，ready 也不增加发送/停止的门槛。</w:t>
      </w:r>
    </w:p>
    <w:p>
      <w:pPr>
        <w:pStyle w:val="Heading2"/>
      </w:pPr>
      <w:r>
        <w:t>4.3 错误处理的可见边界</w:t>
      </w:r>
    </w:p>
    <w:p>
      <w:r>
        <w:t>订阅状态机只用于内部正确性和恢复。正常页面的空态、现有配置读取文本、按钮位置、关闭错误方式保持原样；诊断字段不直接显示给用户。关闭错误仅关闭现有提示，不隐式重试、不清空缓存、不假装恢复连接。</w:t>
      </w:r>
    </w:p>
    <w:p>
      <w:r>
        <w:t>React 挂载后的局部异常如果引入错误隔离，必须映射回原有区域并保持容器尺寸与操作语义。挂载前动态导入失败由 bootstrap 处理，两类错误分别验收。</w:t>
      </w:r>
    </w:p>
    <w:p>
      <w:pPr>
        <w:pStyle w:val="Heading1"/>
      </w:pPr>
      <w:r>
        <w:t>5. 前端性能：削减重复计算，保留输出</w:t>
      </w:r>
    </w:p>
    <w:p>
      <w:pPr>
        <w:pStyle w:val="Heading2"/>
      </w:pPr>
      <w:r>
        <w:t>5.1 先保留会话 key 与所有展示语义</w:t>
      </w:r>
    </w:p>
    <w:p>
      <w:r>
        <w:t>Workbench、TaskViews、ThreadView 的 scope key 会使切换时整个子树重挂，但也隔离草稿、原始会话、展开与局部状态。第一批补丁保留这些 key；后续只有在列清全部重置语义并证明等价后，才单独缩小重挂边界。[E03、E09]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DADF"/>
          <w:left w:val="single" w:sz="4" w:color="D7DADF"/>
          <w:bottom w:val="single" w:sz="4" w:color="D7DADF"/>
          <w:right w:val="single" w:sz="4" w:color="D7DADF"/>
          <w:insideH w:val="single" w:sz="4" w:color="D7DADF"/>
          <w:insideV w:val="single" w:sz="4" w:color="D7DADF"/>
        </w:tblBorders>
      </w:tblPr>
      <w:tblGrid>
        <w:gridCol w:w="1843"/>
        <w:gridCol w:w="4061"/>
        <w:gridCol w:w="4176"/>
      </w:tblGrid>
      <w:tr>
        <w:trPr>
          <w:tblHeader w:val="true"/>
          <w:cantSplit/>
        </w:trPr>
        <w:tc>
          <w:tcPr>
            <w:tcW w:type="dxa" w:w="1843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19"/>
              </w:rPr>
              <w:t>热点</w:t>
            </w:r>
          </w:p>
        </w:tc>
        <w:tc>
          <w:tcPr>
            <w:tcW w:type="dxa" w:w="4061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19"/>
              </w:rPr>
              <w:t>最小改法</w:t>
            </w:r>
          </w:p>
        </w:tc>
        <w:tc>
          <w:tcPr>
            <w:tcW w:type="dxa" w:w="4176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19"/>
              </w:rPr>
              <w:t>等价性要求</w:t>
            </w:r>
          </w:p>
        </w:tc>
      </w:tr>
      <w:tr>
        <w:trPr>
          <w:cantSplit/>
        </w:trPr>
        <w:tc>
          <w:tcPr>
            <w:tcW w:type="dxa" w:w="184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useFullMessage 全文 JSON key</w:t>
            </w:r>
          </w:p>
        </w:tc>
        <w:tc>
          <w:tcPr>
            <w:tcW w:type="dxa" w:w="406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以 scope/history + 当前参与 key 的字段生成语义 token。相同引用快速返回，不同对象按已明确字段比较。</w:t>
            </w:r>
          </w:p>
        </w:tc>
        <w:tc>
          <w:tcPr>
            <w:tcW w:type="dxa" w:w="4176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相同内容的新对象/新数组不收起已展开全文；真实内容或历史代际变化才失效。</w:t>
            </w:r>
          </w:p>
        </w:tc>
      </w:tr>
      <w:tr>
        <w:trPr>
          <w:cantSplit/>
        </w:trPr>
        <w:tc>
          <w:tcPr>
            <w:tcW w:type="dxa" w:w="184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Markdown 重复建树</w:t>
            </w:r>
          </w:p>
        </w:tc>
        <w:tc>
          <w:tcPr>
            <w:tcW w:type="dxa" w:w="406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保留完整 lexer 结果；组件内 memo tokens，稳定 scope、images、renderBlock 等依赖。</w:t>
            </w:r>
          </w:p>
        </w:tc>
        <w:tc>
          <w:tcPr>
            <w:tcW w:type="dxa" w:w="4176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不忽略回调、图片归属和批注开关；不跨会话缓存 React 节点。</w:t>
            </w:r>
          </w:p>
        </w:tc>
      </w:tr>
      <w:tr>
        <w:trPr>
          <w:cantSplit/>
        </w:trPr>
        <w:tc>
          <w:tcPr>
            <w:tcW w:type="dxa" w:w="184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ActivityFacts 首次重复计算</w:t>
            </w:r>
          </w:p>
        </w:tc>
        <w:tc>
          <w:tcPr>
            <w:tcW w:type="dxa" w:w="406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保存首次消息/结果/task 引用，安装订阅后再校验；只有变化的 owner 标脏。</w:t>
            </w:r>
          </w:p>
        </w:tc>
        <w:tc>
          <w:tcPr>
            <w:tcW w:type="dxa" w:w="4176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保留 render→subscribe 竞态检查；新增 call/result 的订阅不能漏。</w:t>
            </w:r>
          </w:p>
        </w:tc>
      </w:tr>
      <w:tr>
        <w:trPr>
          <w:cantSplit/>
        </w:trPr>
        <w:tc>
          <w:tcPr>
            <w:tcW w:type="dxa" w:w="184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有界缓存顺序淘汰</w:t>
            </w:r>
          </w:p>
        </w:tc>
        <w:tc>
          <w:tcPr>
            <w:tcW w:type="dxa" w:w="4061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按消息/部位/解析版本保存单个有效版本；一次历史扫描的 miss 不逐项淘汰即将读取的已保留项。</w:t>
            </w:r>
          </w:p>
        </w:tc>
        <w:tc>
          <w:tcPr>
            <w:tcW w:type="dxa" w:w="4176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预算超限仍完整计算并显示，仅不常驻；流式中间版本不累积。</w:t>
            </w:r>
          </w:p>
        </w:tc>
      </w:tr>
    </w:tbl>
    <w:p>
      <w:pPr>
        <w:spacing w:after="0"/>
      </w:pPr>
    </w:p>
    <w:p>
      <w:r>
        <w:t>useFullMessage 不能只按 source 对象身份 memo。保留原 key 的 id、text、thinking、calls、images、error、status、truncated 和历史代际字段；calls 的 input 已是字符串，images 是元数据。避免短哈希碰撞决定全文失效，也不要加入原来不参与失效的字段。[E14]</w:t>
      </w:r>
    </w:p>
    <w:p>
      <w:pPr>
        <w:pStyle w:val="Heading2"/>
      </w:pPr>
      <w:r>
        <w:t>5.2 缓存预算与摘要不变</w:t>
      </w:r>
    </w:p>
    <w:p>
      <w:r>
        <w:t>当前派生缓存是每会话 2 MiB 估算预算、128 项、最多 5 个会话。固定顺序扫描 129 个不同项可能在下一遍连续淘汰，导致原有命中全部丢失；这是策略上的可构造退化，不是本次实测命中率。[E15]</w:t>
      </w:r>
    </w:p>
    <w:p>
      <w:r>
        <w:t>继续保持有限缓存，以稳定消息部位槽位替换不断增长的全文前缀键；容量估算逐项累计并在超预算时提前停止，不再 JSON.stringify 整棵 AST 生成大字符串。估算预算不能当成 JavaScript 堆真实字节。删除消息、退出 RAW、淘汰会话时都释放对应条目。</w:t>
      </w:r>
    </w:p>
    <w:p>
      <w:r>
        <w:t>收起的思考摘要也存在完整处理成本，但固定 slice 会改变不同宽度下的可见文字，所以不作为修复项。保留原 Markdown、CSS 省略和代码高亮规则，优先共享纯解析与本地 memo。当前明确语言、20,000 字符高亮门槛及失败回退继续保留。[E16、E17]</w:t>
      </w:r>
    </w:p>
    <w:p>
      <w:pPr>
        <w:pStyle w:val="Heading1"/>
      </w:pPr>
      <w:r>
        <w:t>6. 批注与布局：保留 DOM，合并维护</w:t>
      </w:r>
    </w:p>
    <w:p>
      <w:pPr>
        <w:pStyle w:val="Heading2"/>
      </w:pPr>
      <w:r>
        <w:t>6.1 关闭批注时只移除增强成本</w:t>
      </w:r>
    </w:p>
    <w:p>
      <w:r>
        <w:t>ReplyAnnotations 在段落级维护订阅、Range 与观察器；paintAnnotations 会展开全局 Map 重建 Highlight。大量段落逐个注册/清理时，累计扫描可能呈平方增长，主要在浏览器支持 Highlight 且批注启用时放大；不能把所有关闭批注的会话都归因于此。[E18]</w:t>
      </w:r>
    </w:p>
    <w:p>
      <w:pPr>
        <w:ind w:left="144" w:hanging="144"/>
      </w:pPr>
      <w:r>
        <w:t>•  保留 annotation-shell、annotation-source、id、children 位置与节点身份。将 notes/editor/range/ResizeObserver 等增强逻辑放入仅在启用且适用时挂载的内部增强器，增强器不增加 DOM 包裹层。</w:t>
      </w:r>
    </w:p>
    <w:p>
      <w:pPr>
        <w:ind w:left="144" w:hanging="144"/>
      </w:pPr>
      <w:r>
        <w:t>•  线程保留一个稳定的 enabled selector；关闭时段落不各自订阅整份状态。原 React 事件入口保留，通过 ref 委托现有处理器，避免改变链接、summary、复制和选区事件顺序。</w:t>
      </w:r>
    </w:p>
    <w:p>
      <w:pPr>
        <w:ind w:left="144" w:hanging="144"/>
      </w:pPr>
      <w:r>
        <w:t>•  保留编辑中批注在切换/卸载时进入托盘的交接；不能因为增强器卸载就丢掉编辑内容。切换开关不替换正文节点，不清空选区，不移动滚动位置。</w:t>
      </w:r>
    </w:p>
    <w:p>
      <w:pPr>
        <w:pStyle w:val="Heading2"/>
      </w:pPr>
      <w:r>
        <w:t>6.2 全局 Highlight 合批</w:t>
      </w:r>
    </w:p>
    <w:p>
      <w:r>
        <w:t>段落 register/remove 只更新 Map 与 dirty 标记；同一 DOM commit 的操作合并后再构造一次 Highlight。空 ranges 不登记，空集合删除对应 highlight，离开会话清理其 root，不能误清其他会话。</w:t>
      </w:r>
    </w:p>
    <w:p>
      <w:r>
        <w:t>采用模块内共享 ResizeObserver 收集一批 entries 后统一测量/绘制，避免每段独立回调各自重新展开全局集合。初次提交在首个可交互绘制帧前完成；hover 的即时预览保持即时，不把可见标记无条件延后多帧。positions 无变化时保留旧 state。</w:t>
      </w:r>
    </w:p>
    <w:p>
      <w:pPr>
        <w:pStyle w:val="Heading2"/>
      </w:pPr>
      <w:r>
        <w:t>6.3 布局效应按证据处理</w:t>
      </w:r>
    </w:p>
    <w:p>
      <w:r>
        <w:t>useStickyDisclosures 包含同步布局读取，但已有 RAF 合批和避免相同写入的检查；没有证据证明它存在无限 ResizeObserver 循环。只有 trace 显示这一段仍是主要长任务时，再合并读写与减少重复查询，不能通过取消原滚动/吸附规则降低耗时。[E19]</w:t>
      </w:r>
    </w:p>
    <w:p>
      <w:r>
        <w:t>React 官方说明 useLayoutEffect 会阻塞浏览器绘制；这解释了同步布局路径的风险，但不能代替实际耗时测量。[R1]</w:t>
      </w:r>
    </w:p>
    <w:p>
      <w:pPr>
        <w:pStyle w:val="Heading2"/>
      </w:pPr>
      <w:r>
        <w:t>本节通过条件</w:t>
      </w:r>
    </w:p>
    <w:p>
      <w:pPr>
        <w:ind w:left="144" w:hanging="144"/>
      </w:pPr>
      <w:r>
        <w:t>•  批注开/关、跨块选区、链接、代码复制、表格、托盘、RAW 与子会话操作结果保持一致；正常截图与 DOM 结构对比通过。</w:t>
      </w:r>
    </w:p>
    <w:p>
      <w:pPr>
        <w:ind w:left="144" w:hanging="144"/>
      </w:pPr>
      <w:r>
        <w:t>•  一次 P 段落挂载/卸载的全局 Highlight 重建降为有界的一两次；标记在第一可交互帧的位置与基线一致。</w:t>
      </w:r>
    </w:p>
    <w:p>
      <w:pPr>
        <w:ind w:left="144" w:hanging="144"/>
      </w:pPr>
      <w:r>
        <w:t>•  连续切换与窗口缩放后无遗留 Range、root、listener 或 observer；关闭该视图的批注后，其增强观察注册归零，其他已启用视图保持正常。所有视图关闭后，共享观察器不再观察节点。</w:t>
      </w:r>
    </w:p>
    <w:p>
      <w:pPr>
        <w:pStyle w:val="Heading1"/>
      </w:pPr>
      <w:r>
        <w:t>7. 后端历史：移走主服务循环的大任务</w:t>
      </w:r>
    </w:p>
    <w:p>
      <w:pPr>
        <w:pStyle w:val="Heading2"/>
      </w:pPr>
      <w:r>
        <w:t>7.1 已确认的读取与发送成本</w:t>
      </w:r>
    </w:p>
    <w:p>
      <w:r>
        <w:t>AgentViews 的消息缓存最多 5 个会话。冷 transcript 会同步打开原生会话、生成完整消息 Map；thread 也依赖此投影。messages 快照即使命中缓存仍会映射整段历史，再进入同步 JSON 编码和发送队列。部分旧记录缺 context 用量时还有额外读取分支。[E12、E13、E20–E22]</w:t>
      </w:r>
    </w:p>
    <w:p>
      <w:r>
        <w:t>现有 transcriptHeader 已限制为最多 64 KiB 验证，不应重复修复旧版“读全文件校验头”的问题。boundedMessage 只限制单条某些文本字段，不限制整段历史条数；不能通过降低现有显示上限修复全量成本。[E21]</w:t>
      </w:r>
    </w:p>
    <w:p>
      <w:r>
        <w:t>Node.js 官方指出，在事件循环执行较长同步任务会延迟其他客户端工作。因此后台历史工作可能连带拖慢配置订阅；是否同时拖慢本次设置 HTML/CSS 响应，仍需静态路由与时间轨迹确认，不能直接写成已复现。[R2]</w:t>
      </w:r>
    </w:p>
    <w:p>
      <w:pPr>
        <w:pStyle w:val="Heading2"/>
      </w:pPr>
      <w:r>
        <w:t>7.2 分阶段采用，不强制先重写协议</w:t>
      </w:r>
    </w:p>
    <w:p>
      <w:pPr>
        <w:ind w:left="144" w:hanging="144"/>
      </w:pPr>
      <w:r>
        <w:t>•  先加分段计时和同 scope 请求合并，确认 messages/thread/agent 是否重复打开、投影、编码。profile 证明同步历史是瓶颈时，进入专用后台读取阶段，不靠更大超时放行。</w:t>
      </w:r>
    </w:p>
    <w:p>
      <w:pPr>
        <w:ind w:left="144" w:hanging="144"/>
      </w:pPr>
      <w:r>
        <w:t>•  拆分 cache-only 的 peekProjection 与允许等待的 ensureProjection。messages/thread 共享一次完整读取；实时 changed/messageChanged 路径不得为补缓存偷偷同步打开历史。不要直接把所有 transcript 调用机械改成 Promise。</w:t>
      </w:r>
    </w:p>
    <w:p>
      <w:pPr>
        <w:ind w:left="144" w:hanging="144"/>
      </w:pPr>
      <w:r>
        <w:t>•  建议只增加一个 history-reader 协调器和一个 history-worker，默认并发 1、等待最多 16 个不同任务，同 scope/结构版本合并。它不占模型执行池、任务配额或加载工具/模型环境。数值是初始内部预算，须实测。</w:t>
      </w:r>
    </w:p>
    <w:p>
      <w:pPr>
        <w:ind w:left="144" w:hanging="144"/>
      </w:pPr>
      <w:r>
        <w:t>•  原生读取、投影、消息转换、压缩卡片、threadGroups、必要用量补算及大 JSON 编码在 Worker 完成。只把 fs.readFile 改 async、把解析与转换留在主循环不算完成。</w:t>
      </w:r>
    </w:p>
    <w:p>
      <w:pPr>
        <w:ind w:left="144" w:hanging="144"/>
      </w:pPr>
      <w:r>
        <w:t>•  Worker 回传与主缓存构建也分成有界内部批次，完整后再替换缓存；不一次 structured clone 巨大对象图。保持普通/RAW 的现有投影函数、分支与压缩语义，保留未读子任务通知恢复。</w:t>
      </w:r>
    </w:p>
    <w:p>
      <w:pPr>
        <w:pStyle w:val="Heading2"/>
      </w:pPr>
      <w:r>
        <w:t>7.3 代价与取消</w:t>
      </w:r>
    </w:p>
    <w:p>
      <w:r>
        <w:t>如果 SDK 无公开稳定的完整前缀读取 API，可在确认追加写与结构失效机制后：只读持有源文件 fd，捕获 EOF=S，复制严格前 S 字节到私有临时文件，再用已存在的 SessionManager.open 读取副本。不能假设未核实的 SDK API、自行裁最后一行或改写原会话。副本增加一次冷读 I/O，确定收益是隔离主循环，不承诺冷就绪时间必然缩短。</w:t>
      </w:r>
    </w:p>
    <w:p>
      <w:r>
        <w:t>最后一个消费者取消时，先使任务结果失效；同步解析中的 Worker 不能仅靠 AbortSignal 中断，必要时真正终止并等待退出后再开下一个。由主进程在成功、失败、取消和退出时清理临时文件/句柄/回调；还有其他消费者则只取消该消费者。慢连接不能长期独占唯一读取 Worker。</w:t>
      </w:r>
    </w:p>
    <w:p>
      <w:pPr>
        <w:pStyle w:val="Heading1"/>
      </w:pPr>
      <w:r>
        <w:t>8. 一致性与内部传输：只在需要时启用</w:t>
      </w:r>
    </w:p>
    <w:p>
      <w:pPr>
        <w:pStyle w:val="Heading2"/>
      </w:pPr>
      <w:r>
        <w:t>8.1 后台读必须先满足一致性</w:t>
      </w:r>
    </w:p>
    <w:p>
      <w:r>
        <w:t>异步化必须有明确快照边界，不能靠“读取前后 stat 一样”反复重试；持续 append 会让这种方案一直失败。结构性 readEpoch 与普通内容 revision 分开：压缩、回滚、分支/文件绑定切换、改写和删除须在开始写之前使旧读取失效；普通追加进入本次任务的增量记录。</w:t>
      </w:r>
    </w:p>
    <w:p>
      <w:r>
        <w:t>任务创建时保存已有 transient，并持续按消息 ID 更新 job-local overlay。persisted 清掉原 transient 时不得同时清掉 overlay，否则捕获 EOF 后才落盘的消息可能既不在副本、又不在合并增量中。Worker 基础投影完成后，主线程一次封存 overlay、当前 thread 元信息与 cutSeq，Worker 合并并构建布局；客户端在完整提交后重放 seq &gt; cutSeq 的事件。</w:t>
      </w:r>
    </w:p>
    <w:p>
      <w:r>
        <w:t>实施前必须验证全部写入路径和锁定 SDK 的读取行为。若无法证明源前缀与结构失效边界，先补齐边界；不能用可能丢消息的后台读换取更快。结构变化使旧任务不可提交，普通追加不触发无限重读。</w:t>
      </w:r>
    </w:p>
    <w:p>
      <w:pPr>
        <w:pStyle w:val="Heading2"/>
      </w:pPr>
      <w:r>
        <w:t>8.2 同版复用：先消除不必要的重传</w:t>
      </w:r>
    </w:p>
    <w:p>
      <w:r>
        <w:t>仅当测量显示热会话完整重传明显时增加服务端完整 projection revision。版本与 streamId、源身份和结构绑定；客户端只有完整提交后才可发送 knownRevision。同版确认返回 unchanged，保持原消息对象身份并更新本次订阅新鲜度；不能用最大单消息 seq 代表完整历史，也不能顺便把 agent 标为 ready。</w:t>
      </w:r>
    </w:p>
    <w:p>
      <w:pPr>
        <w:pStyle w:val="Heading2"/>
      </w:pPr>
      <w:r>
        <w:t>8.3 分片仅为内部传输单位</w:t>
      </w:r>
    </w:p>
    <w:p>
      <w:r>
        <w:t>若大单帧仍造成编码、排队或取消阻塞，再通过能力协商增加 history.start/data/end/unchanged，复用 subscribe requestId、scope、generation、streamId 与 cutSeq，不另造重复的传输 ID 系统。建议每个编码批次初值 256 KiB，单条超大消息和 thread 数据同样分片，不能继续允许无限大例外。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DADF"/>
          <w:left w:val="single" w:sz="4" w:color="D7DADF"/>
          <w:bottom w:val="single" w:sz="4" w:color="D7DADF"/>
          <w:right w:val="single" w:sz="4" w:color="D7DADF"/>
          <w:insideH w:val="single" w:sz="4" w:color="D7DADF"/>
          <w:insideV w:val="single" w:sz="4" w:color="D7DADF"/>
        </w:tblBorders>
      </w:tblPr>
      <w:tblGrid>
        <w:gridCol w:w="1440"/>
        <w:gridCol w:w="8640"/>
      </w:tblGrid>
      <w:tr>
        <w:trPr>
          <w:tblHeader w:val="true"/>
          <w:cantSplit/>
        </w:trPr>
        <w:tc>
          <w:tcPr>
            <w:tcW w:type="dxa" w:w="1440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20"/>
              </w:rPr>
              <w:t>环节</w:t>
            </w:r>
          </w:p>
        </w:tc>
        <w:tc>
          <w:tcPr>
            <w:tcW w:type="dxa" w:w="8640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20"/>
              </w:rPr>
              <w:t>必须满足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接收</w:t>
            </w:r>
          </w:p>
        </w:tc>
        <w:tc>
          <w:tcPr>
            <w:tcW w:type="dxa" w:w="864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按 scope/attempt 暂存；不逐批通知渲染，不提前提高完整集合水位。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结束</w:t>
            </w:r>
          </w:p>
        </w:tc>
        <w:tc>
          <w:tcPr>
            <w:tcW w:type="dxa" w:w="864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校验当前身份、完整数量和 thread 结束状态；正文与 thread 一次提交，再按 seq 重放增量。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取消</w:t>
            </w:r>
          </w:p>
        </w:tc>
        <w:tc>
          <w:tcPr>
            <w:tcW w:type="dxa" w:w="864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未发批次停止编码/入队；已 ws.send 的批次无法撤回，客户端仍按身份丢弃。业务回执与实时结果不能被误丢。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内存</w:t>
            </w:r>
          </w:p>
        </w:tc>
        <w:tc>
          <w:tcPr>
            <w:tcW w:type="dxa" w:w="864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限制单任务、单连接及总 staging 字节与等待数；溢出进入可恢复失败，不能提交半份会话或无界增长。</w:t>
            </w:r>
          </w:p>
        </w:tc>
      </w:tr>
      <w:tr>
        <w:trPr>
          <w:cantSplit/>
        </w:trPr>
        <w:tc>
          <w:tcPr>
            <w:tcW w:type="dxa" w:w="144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兼容</w:t>
            </w:r>
          </w:p>
        </w:tc>
        <w:tc>
          <w:tcPr>
            <w:tcW w:type="dxa" w:w="864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20"/>
              </w:rPr>
              <w:t>未声明能力仍用旧完整 snapshot；新客户端可处理旧服务。旧客户端不承诺分片取消与零正文重传收益。</w:t>
            </w:r>
          </w:p>
        </w:tc>
      </w:tr>
    </w:tbl>
    <w:p>
      <w:pPr>
        <w:spacing w:after="0"/>
      </w:pPr>
    </w:p>
    <w:p>
      <w:r>
        <w:t>这两项是按瓶颈触发的后续措施，不是 P0 正确性修复的先决条件。只有基础补丁后仍未通过响应性验收才继续引入，且前后端必须一起验证，不能只改单边帧格式。</w:t>
      </w:r>
    </w:p>
    <w:p>
      <w:pPr>
        <w:pStyle w:val="Heading1"/>
      </w:pPr>
      <w:r>
        <w:t>9. 功能验收：先证明交互完全等价</w:t>
      </w:r>
    </w:p>
    <w:p>
      <w:r>
        <w:t>基线与修复版使用同一数据副本、同一窗口尺寸、字体、缩放、主题和浏览器/WebView 版本。先记录正常行为再对照修复；故障注入使用隔离样例。下列测试均为待执行清单，本次未运行。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DADF"/>
          <w:left w:val="single" w:sz="4" w:color="D7DADF"/>
          <w:bottom w:val="single" w:sz="4" w:color="D7DADF"/>
          <w:right w:val="single" w:sz="4" w:color="D7DADF"/>
          <w:insideH w:val="single" w:sz="4" w:color="D7DADF"/>
          <w:insideV w:val="single" w:sz="4" w:color="D7DADF"/>
        </w:tblBorders>
      </w:tblPr>
      <w:tblGrid>
        <w:gridCol w:w="2160"/>
        <w:gridCol w:w="7920"/>
      </w:tblGrid>
      <w:tr>
        <w:trPr>
          <w:tblHeader w:val="true"/>
          <w:cantSplit/>
        </w:trPr>
        <w:tc>
          <w:tcPr>
            <w:tcW w:type="dxa" w:w="2160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19"/>
              </w:rPr>
              <w:t>编号 / 场景</w:t>
            </w:r>
          </w:p>
        </w:tc>
        <w:tc>
          <w:tcPr>
            <w:tcW w:type="dxa" w:w="7920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19"/>
              </w:rPr>
              <w:t>通过条件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U01 设置导航</w:t>
            </w:r>
          </w:p>
        </w:tc>
        <w:tc>
          <w:tcPr>
            <w:tcW w:type="dxa" w:w="79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工作台→设置→模型/工具→返回；URL、前进后退、刷新及各环境原有新窗口语义不变。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U02 首帧 / 配置慢</w:t>
            </w:r>
          </w:p>
        </w:tc>
        <w:tc>
          <w:tcPr>
            <w:tcW w:type="dxa" w:w="79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延迟 configuration 时先出现现有布局和读取文本；底色为原主题，配置完成后原位置更新。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U03 资源首次失败</w:t>
            </w:r>
          </w:p>
        </w:tc>
        <w:tc>
          <w:tcPr>
            <w:tcW w:type="dxa" w:w="79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单个页面模块或 CSS 瞬时失败，最多一次有限恢复；永久缺失有 bootstrap 诊断，不无限刷新。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U04 编辑后异常</w:t>
            </w:r>
          </w:p>
        </w:tc>
        <w:tc>
          <w:tcPr>
            <w:tcW w:type="dxa" w:w="79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配置已编辑后断网或异常不自动刷新、不丢输入、不自动重复保存。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U05 空会话</w:t>
            </w:r>
          </w:p>
        </w:tc>
        <w:tc>
          <w:tcPr>
            <w:tcW w:type="dxa" w:w="79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新建/空工作区不发送空 session 订阅；选择行为与空态不变。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U06 单订阅错误</w:t>
            </w:r>
          </w:p>
        </w:tc>
        <w:tc>
          <w:tcPr>
            <w:tcW w:type="dxa" w:w="79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一个会话报错不让正常连接的发送/停止失效；错误归属正确，鼠标和 Enter 一致。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U07 超时与晚到</w:t>
            </w:r>
          </w:p>
        </w:tc>
        <w:tc>
          <w:tcPr>
            <w:tcW w:type="dxa" w:w="79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当前 attempt 晚到完整结果可恢复；被替换 attempt 不可提交；错误与重试定时器最终释放。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U08 快速切换</w:t>
            </w:r>
          </w:p>
        </w:tc>
        <w:tc>
          <w:tcPr>
            <w:tcW w:type="dxa" w:w="79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A→B→A、连续 50 次切换、主/子视图并存，无串会话、旧错误覆盖或残留订阅增长。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U09 正在输出</w:t>
            </w:r>
          </w:p>
        </w:tc>
        <w:tc>
          <w:tcPr>
            <w:tcW w:type="dxa" w:w="79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切换/后台读取期间持续输出并落盘，不丢消息、不重复、不倒退；停止操作保持可用规则。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U10 压缩 / 重写</w:t>
            </w:r>
          </w:p>
        </w:tc>
        <w:tc>
          <w:tcPr>
            <w:tcW w:type="dxa" w:w="79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读取期间压缩、回滚、分支/文件绑定改变，使旧结果失效；卡片、顺序、工具关联等价。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U11 全文与 RAW</w:t>
            </w:r>
          </w:p>
        </w:tc>
        <w:tc>
          <w:tcPr>
            <w:tcW w:type="dxa" w:w="79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原有截断标记、展开全文、复制、工具详情与原始会话内容一致；RAW 退出释放私有缓存。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U12 已读</w:t>
            </w:r>
          </w:p>
        </w:tc>
        <w:tc>
          <w:tcPr>
            <w:tcW w:type="dxa" w:w="7920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后台、未到底部、旧缓存、尚未完整确认均不提前标读；当前完整呈现后按既有规则确认。</w:t>
            </w:r>
          </w:p>
        </w:tc>
      </w:tr>
    </w:tbl>
    <w:p>
      <w:pPr>
        <w:spacing w:after="0"/>
      </w:pPr>
    </w:p>
    <w:p>
      <w:pPr>
        <w:pStyle w:val="Heading1"/>
      </w:pPr>
      <w:r>
        <w:t>10. 计算与协议验收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DADF"/>
          <w:left w:val="single" w:sz="4" w:color="D7DADF"/>
          <w:bottom w:val="single" w:sz="4" w:color="D7DADF"/>
          <w:right w:val="single" w:sz="4" w:color="D7DADF"/>
          <w:insideH w:val="single" w:sz="4" w:color="D7DADF"/>
          <w:insideV w:val="single" w:sz="4" w:color="D7DADF"/>
        </w:tblBorders>
      </w:tblPr>
      <w:tblGrid>
        <w:gridCol w:w="2376"/>
        <w:gridCol w:w="7704"/>
      </w:tblGrid>
      <w:tr>
        <w:trPr>
          <w:tblHeader w:val="true"/>
          <w:cantSplit/>
        </w:trPr>
        <w:tc>
          <w:tcPr>
            <w:tcW w:type="dxa" w:w="2376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19"/>
              </w:rPr>
              <w:t>编号 / 场景</w:t>
            </w:r>
          </w:p>
        </w:tc>
        <w:tc>
          <w:tcPr>
            <w:tcW w:type="dxa" w:w="7704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19"/>
              </w:rPr>
              <w:t>通过条件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U13 草稿 / 焦点 / 滚动</w:t>
            </w:r>
          </w:p>
        </w:tc>
        <w:tc>
          <w:tcPr>
            <w:tcW w:type="dxa" w:w="770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切换前后的草稿归属、焦点、输入法、键盘、选择文字暂停跟随、返回底部与展开重置规则等价。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U14 Markdown / 摘要</w:t>
            </w:r>
          </w:p>
        </w:tc>
        <w:tc>
          <w:tcPr>
            <w:tcW w:type="dxa" w:w="770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相同宽度下全文、思考摘要、中文强调、表格、图片、链接、高亮与复制结果一致。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U15 全文失效</w:t>
            </w:r>
          </w:p>
        </w:tc>
        <w:tc>
          <w:tcPr>
            <w:tcW w:type="dxa" w:w="770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内容相同的新对象不收起全文；实际字段/历史代际变化使旧异步 message.get 结果失效。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U16 缓存预算</w:t>
            </w:r>
          </w:p>
        </w:tc>
        <w:tc>
          <w:tcPr>
            <w:tcW w:type="dxa" w:w="770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129 个槽位两次顺序扫描不把原有命中逐项清空；流式前缀、&gt;5 会话与超大 AST 不导致无界常驻。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U17 Facts 竞态</w:t>
            </w:r>
          </w:p>
        </w:tc>
        <w:tc>
          <w:tcPr>
            <w:tcW w:type="dxa" w:w="770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静止会话初算一次；render 与 subscribe 间更新及新增 call/result 不丢，卸载后无多余 watcher。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U18 批注</w:t>
            </w:r>
          </w:p>
        </w:tc>
        <w:tc>
          <w:tcPr>
            <w:tcW w:type="dxa" w:w="770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开关、选区、标记、hover、编辑器、托盘、缩放与多会话行为等价；原正文 DOM 身份保持。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U19 同版复用（启用时）</w:t>
            </w:r>
          </w:p>
        </w:tc>
        <w:tc>
          <w:tcPr>
            <w:tcW w:type="dxa" w:w="770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无变更完整会话切回零正文重传且消息对象不变；stream/结构/内容变化不能误命中。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U20 分片（启用时）</w:t>
            </w:r>
          </w:p>
        </w:tc>
        <w:tc>
          <w:tcPr>
            <w:tcW w:type="dxa" w:w="770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中断、超大单条、异常结束、乱序晚到均不显示半份历史；end 后实时增量完整有序。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U21 共享读取 / 取消</w:t>
            </w:r>
          </w:p>
        </w:tc>
        <w:tc>
          <w:tcPr>
            <w:tcW w:type="dxa" w:w="770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同 scope messages/thread 合并一次；取消一名消费者不影响其他人；最后取消释放工作与暂存。</w:t>
            </w:r>
          </w:p>
        </w:tc>
      </w:tr>
      <w:tr>
        <w:trPr>
          <w:cantSplit/>
        </w:trPr>
        <w:tc>
          <w:tcPr>
            <w:tcW w:type="dxa" w:w="2376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U22 资源 / 兼容</w:t>
            </w:r>
          </w:p>
        </w:tc>
        <w:tc>
          <w:tcPr>
            <w:tcW w:type="dxa" w:w="7704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持续加载取消后 Worker、队列、临时文件、staging、observer 不增长；新旧客户端混用正常。</w:t>
            </w:r>
          </w:p>
        </w:tc>
      </w:tr>
    </w:tbl>
    <w:p>
      <w:pPr>
        <w:spacing w:after="0"/>
      </w:pPr>
    </w:p>
    <w:p>
      <w:pPr>
        <w:pStyle w:val="Heading2"/>
      </w:pPr>
      <w:r>
        <w:t>验证层次</w:t>
      </w:r>
    </w:p>
    <w:p>
      <w:r>
        <w:t>为上述有实际风险的变化补充语义/竞态测试；普通样式提前与局部 memo 不需要只复述实现的冗余测试。构建产物与 UI 行为必须在真实浏览器和目标桌面 WebView 各验证一次。现有 session-loading.perf.ts 是 Node 侧结构样例，不能替代完整页面的 render/commit/layout 和黑白屏帧检查。[E23]</w:t>
      </w:r>
    </w:p>
    <w:p>
      <w:r>
        <w:t>正常状态做截图、DOM 和交互结果比对：冻结时间/光标/流式动画等动态变量。布局、字体、颜色、工具提示、断点与控件可用规则变化均视为回归；修复故障所减少的等待、恢复错误和消除异常空白属于目标变化。</w:t>
      </w:r>
    </w:p>
    <w:p>
      <w:pPr>
        <w:pStyle w:val="Heading1"/>
      </w:pPr>
      <w:r>
        <w:t>11. 性能测量与发布门槛</w:t>
      </w:r>
    </w:p>
    <w:p>
      <w:pPr>
        <w:pStyle w:val="Heading2"/>
      </w:pPr>
      <w:r>
        <w:t>11.1 先拆分等待，避免把所有慢都算给 WS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DADF"/>
          <w:left w:val="single" w:sz="4" w:color="D7DADF"/>
          <w:bottom w:val="single" w:sz="4" w:color="D7DADF"/>
          <w:right w:val="single" w:sz="4" w:color="D7DADF"/>
          <w:insideH w:val="single" w:sz="4" w:color="D7DADF"/>
          <w:insideV w:val="single" w:sz="4" w:color="D7DADF"/>
        </w:tblBorders>
      </w:tblPr>
      <w:tblGrid>
        <w:gridCol w:w="1757"/>
        <w:gridCol w:w="8323"/>
      </w:tblGrid>
      <w:tr>
        <w:trPr>
          <w:tblHeader w:val="true"/>
          <w:cantSplit/>
        </w:trPr>
        <w:tc>
          <w:tcPr>
            <w:tcW w:type="dxa" w:w="1757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19"/>
              </w:rPr>
              <w:t>测量段</w:t>
            </w:r>
          </w:p>
        </w:tc>
        <w:tc>
          <w:tcPr>
            <w:tcW w:type="dxa" w:w="8323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19"/>
              </w:rPr>
              <w:t>记录字段 / 判断目的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设置页首屏</w:t>
            </w:r>
          </w:p>
        </w:tc>
        <w:tc>
          <w:tcPr>
            <w:tcW w:type="dxa" w:w="832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导航开始→模块/CSS ready→React commit→完整布局帧；区分 TTFB、资源链、主线程和主题画布。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连接与订阅</w:t>
            </w:r>
          </w:p>
        </w:tc>
        <w:tc>
          <w:tcPr>
            <w:tcW w:type="dxa" w:w="832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connect/open、订阅发出、服务收到、排队开始/结束、首个/完整响应；统计错误码、重试次数、close code。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服务端历史</w:t>
            </w:r>
          </w:p>
        </w:tc>
        <w:tc>
          <w:tcPr>
            <w:tcW w:type="dxa" w:w="832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缓存命中、读源、原生投影、转换、thread、编码、发送等待；同时观测 event-loop delay。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客户端会话</w:t>
            </w:r>
          </w:p>
        </w:tc>
        <w:tc>
          <w:tcPr>
            <w:tcW w:type="dxa" w:w="832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接收、解码/暂存、缓存提交、React render、commit/layout、目标首个完整可交互帧；统计长任务。</w:t>
            </w:r>
          </w:p>
        </w:tc>
      </w:tr>
      <w:tr>
        <w:trPr>
          <w:cantSplit/>
        </w:trPr>
        <w:tc>
          <w:tcPr>
            <w:tcW w:type="dxa" w:w="1757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资源与取消</w:t>
            </w:r>
          </w:p>
        </w:tc>
        <w:tc>
          <w:tcPr>
            <w:tcW w:type="dxa" w:w="832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峰值/稳定态内存、发送字节、队列深度、取消后旧工作量、解析命中、观察器与临时资源数量。</w:t>
            </w:r>
          </w:p>
        </w:tc>
      </w:tr>
    </w:tbl>
    <w:p>
      <w:pPr>
        <w:spacing w:after="0"/>
      </w:pPr>
    </w:p>
    <w:p>
      <w:r>
        <w:t>诊断只记录匿名 scope/attempt 标识、阶段、耗时、大小和错误码，不记录会话正文、工具输入、令牌或敏感路径。脱敏关联标识只用于串起同一次导航/订阅。</w:t>
      </w:r>
    </w:p>
    <w:p>
      <w:pPr>
        <w:pStyle w:val="Heading2"/>
      </w:pPr>
      <w:r>
        <w:t>11.2 固定样例与采样</w:t>
      </w:r>
    </w:p>
    <w:p>
      <w:r>
        <w:t>建议至少包含：短会话、长正文/代码/思考会话、工具密集会话、多次压缩会话、正在输出会话；再覆盖缓存内来回切换、超过 5 会话淘汰、主/子视图并存、设置导航时后台繁忙。数据量记录为消息数、原生文件大小和编码字节，不能只写“长会话”。</w:t>
      </w:r>
    </w:p>
    <w:p>
      <w:r>
        <w:t>每个关键场景建议 5 次预热后至少 30 次记录 p50/p95；冷读单列，不混入热数据。修复前后同机同数据配对，记录设备、系统、内存、应用构建与 WebView/浏览器版本。无稳定运行数据时，报告保持“待验收”。</w:t>
      </w:r>
    </w:p>
    <w:p>
      <w:pPr>
        <w:pStyle w:val="Heading2"/>
      </w:pPr>
      <w:r>
        <w:t>11.3 建议性能目标，不是测量结果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DADF"/>
          <w:left w:val="single" w:sz="4" w:color="D7DADF"/>
          <w:bottom w:val="single" w:sz="4" w:color="D7DADF"/>
          <w:right w:val="single" w:sz="4" w:color="D7DADF"/>
          <w:insideH w:val="single" w:sz="4" w:color="D7DADF"/>
          <w:insideV w:val="single" w:sz="4" w:color="D7DADF"/>
        </w:tblBorders>
      </w:tblPr>
      <w:tblGrid>
        <w:gridCol w:w="1728"/>
        <w:gridCol w:w="8352"/>
      </w:tblGrid>
      <w:tr>
        <w:trPr>
          <w:tblHeader w:val="true"/>
          <w:cantSplit/>
        </w:trPr>
        <w:tc>
          <w:tcPr>
            <w:tcW w:type="dxa" w:w="1728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19"/>
              </w:rPr>
              <w:t>门槛</w:t>
            </w:r>
          </w:p>
        </w:tc>
        <w:tc>
          <w:tcPr>
            <w:tcW w:type="dxa" w:w="8352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19"/>
              </w:rPr>
              <w:t>建议初始要求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正确性硬门槛</w:t>
            </w:r>
          </w:p>
        </w:tc>
        <w:tc>
          <w:tcPr>
            <w:tcW w:type="dxa" w:w="8352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U01–U18 全过；采用后续读取/协议改造时对应 U19–U22 必须过。无消息丢失、串会话或编辑内容损失。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响应性目标</w:t>
            </w:r>
          </w:p>
        </w:tc>
        <w:tc>
          <w:tcPr>
            <w:tcW w:type="dxa" w:w="8352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固定热会话切换及设置布局首帧 p95 争取 ≤300 ms；大冷会话单列预算，不能用空壳/半份数据冒充完成。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长任务与回归</w:t>
            </w:r>
          </w:p>
        </w:tc>
        <w:tc>
          <w:tcPr>
            <w:tcW w:type="dxa" w:w="8352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重点消除历史处理引起的 &gt;200 ms 单次 UI/服务循环阻塞；关键场景 p95 相对基线争取降低 ≥50%，其余场景不出现可重复退化。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稳定性</w:t>
            </w:r>
          </w:p>
        </w:tc>
        <w:tc>
          <w:tcPr>
            <w:tcW w:type="dxa" w:w="8352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故障恢复最多一次；切换/取消循环后各资源回归稳定范围；永久资源错误可定位，无刷新风暴。</w:t>
            </w:r>
          </w:p>
        </w:tc>
      </w:tr>
    </w:tbl>
    <w:p>
      <w:pPr>
        <w:spacing w:after="0"/>
      </w:pPr>
    </w:p>
    <w:p>
      <w:r>
        <w:t>50 ms 可用作前端长任务统计阈值；200/300 ms 与 50% 是本方案的项目目标，需以目标设备基线校准，不是标准保证。若达标需要改变展示内容或交互，应继续寻找内部瓶颈，不放宽用户约束。</w:t>
      </w:r>
    </w:p>
    <w:p>
      <w:pPr>
        <w:pStyle w:val="Heading1"/>
      </w:pPr>
      <w:r>
        <w:t>12. 实施顺序、回滚与执行指令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DADF"/>
          <w:left w:val="single" w:sz="4" w:color="D7DADF"/>
          <w:bottom w:val="single" w:sz="4" w:color="D7DADF"/>
          <w:right w:val="single" w:sz="4" w:color="D7DADF"/>
          <w:insideH w:val="single" w:sz="4" w:color="D7DADF"/>
          <w:insideV w:val="single" w:sz="4" w:color="D7DADF"/>
        </w:tblBorders>
      </w:tblPr>
      <w:tblGrid>
        <w:gridCol w:w="1685"/>
        <w:gridCol w:w="4392"/>
        <w:gridCol w:w="4003"/>
      </w:tblGrid>
      <w:tr>
        <w:trPr>
          <w:tblHeader w:val="true"/>
          <w:cantSplit/>
        </w:trPr>
        <w:tc>
          <w:tcPr>
            <w:tcW w:type="dxa" w:w="1685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19"/>
              </w:rPr>
              <w:t>阶段</w:t>
            </w:r>
          </w:p>
        </w:tc>
        <w:tc>
          <w:tcPr>
            <w:tcW w:type="dxa" w:w="4392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19"/>
              </w:rPr>
              <w:t>内容</w:t>
            </w:r>
          </w:p>
        </w:tc>
        <w:tc>
          <w:tcPr>
            <w:tcW w:type="dxa" w:w="4003"/>
            <w:tcMar>
              <w:top w:w="75" w:type="dxa"/>
              <w:bottom w:w="75" w:type="dxa"/>
              <w:left w:w="95" w:type="dxa"/>
              <w:right w:w="95" w:type="dxa"/>
            </w:tcMar>
            <w:shd w:fill="EEF0F2"/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/>
                <w:sz w:val="19"/>
              </w:rPr>
              <w:t>进入下一阶段的依据</w:t>
            </w:r>
          </w:p>
        </w:tc>
      </w:tr>
      <w:tr>
        <w:trPr>
          <w:cantSplit/>
        </w:trPr>
        <w:tc>
          <w:tcPr>
            <w:tcW w:type="dxa" w:w="168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P0 基线与正确性</w:t>
            </w:r>
          </w:p>
        </w:tc>
        <w:tc>
          <w:tcPr>
            <w:tcW w:type="dxa" w:w="4392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记录场景；修空 session、连接布尔值/作用域错误、bootstrap 捕获、同主题首帧底色和资源一致性。</w:t>
            </w:r>
          </w:p>
        </w:tc>
        <w:tc>
          <w:tcPr>
            <w:tcW w:type="dxa" w:w="400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现有交互对照通过，故障不再进入无法收敛的错误状态。</w:t>
            </w:r>
          </w:p>
        </w:tc>
      </w:tr>
      <w:tr>
        <w:trPr>
          <w:cantSplit/>
        </w:trPr>
        <w:tc>
          <w:tcPr>
            <w:tcW w:type="dxa" w:w="168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P1 低风险计算</w:t>
            </w:r>
          </w:p>
        </w:tc>
        <w:tc>
          <w:tcPr>
            <w:tcW w:type="dxa" w:w="4392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语义 token、本地 memo、Facts 竞态校验、有界解析缓存；根据 trace 合批批注维护。</w:t>
            </w:r>
          </w:p>
        </w:tc>
        <w:tc>
          <w:tcPr>
            <w:tcW w:type="dxa" w:w="400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复测仍有服务端同步历史、完整快照或大 DOM 成本。</w:t>
            </w:r>
          </w:p>
        </w:tc>
      </w:tr>
      <w:tr>
        <w:trPr>
          <w:cantSplit/>
        </w:trPr>
        <w:tc>
          <w:tcPr>
            <w:tcW w:type="dxa" w:w="168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P2 后台历史（有证据时）</w:t>
            </w:r>
          </w:p>
        </w:tc>
        <w:tc>
          <w:tcPr>
            <w:tcW w:type="dxa" w:w="4392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cache-only/async 入口、共同投影、单 Worker、稳定前缀/overlay/结构失效、取消清理。</w:t>
            </w:r>
          </w:p>
        </w:tc>
        <w:tc>
          <w:tcPr>
            <w:tcW w:type="dxa" w:w="400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主循环改善；若热重传/大帧仍是瓶颈再做 P3。</w:t>
            </w:r>
          </w:p>
        </w:tc>
      </w:tr>
      <w:tr>
        <w:trPr>
          <w:cantSplit/>
        </w:trPr>
        <w:tc>
          <w:tcPr>
            <w:tcW w:type="dxa" w:w="168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P3 内部协议（有证据时）</w:t>
            </w:r>
          </w:p>
        </w:tc>
        <w:tc>
          <w:tcPr>
            <w:tcW w:type="dxa" w:w="4392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完整 revision 复用、能力协商、有限分片、staging/原子提交与旧端兼容。</w:t>
            </w:r>
          </w:p>
        </w:tc>
        <w:tc>
          <w:tcPr>
            <w:tcW w:type="dxa" w:w="400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相应协议与 UI 等价测试通过，性能实测达到约定门槛。</w:t>
            </w:r>
          </w:p>
        </w:tc>
      </w:tr>
      <w:tr>
        <w:trPr>
          <w:cantSplit/>
        </w:trPr>
        <w:tc>
          <w:tcPr>
            <w:tcW w:type="dxa" w:w="1685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P4 发布</w:t>
            </w:r>
          </w:p>
        </w:tc>
        <w:tc>
          <w:tcPr>
            <w:tcW w:type="dxa" w:w="4392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按现有发布方式提供构建，对比产物资源清单和目标桌面版本，附实测与回归记录。</w:t>
            </w:r>
          </w:p>
        </w:tc>
        <w:tc>
          <w:tcPr>
            <w:tcW w:type="dxa" w:w="4003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20" w:line="284" w:lineRule="exact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无未解释的黑白屏路径、性能回退或交互差异。</w:t>
            </w:r>
          </w:p>
        </w:tc>
      </w:tr>
    </w:tbl>
    <w:p>
      <w:pPr>
        <w:spacing w:after="0"/>
      </w:pPr>
    </w:p>
    <w:p>
      <w:r>
        <w:t>每阶段独立提交，描述具体故障、内部变化、可见行为等价证据与测试结果。不得顺便升级框架、改路由、重做 UI 或迁移业务数据。使用现有打包流程；HTML 与引用资源必须作为同一可回退构建发布，避免更新过程中引用已删除 chunk。</w:t>
      </w:r>
    </w:p>
    <w:p>
      <w:r>
        <w:t>回滚以恢复上一套完整前后端/静态资源构建为单位，不删除用户历史、不清空配置、不同步回滚会话数据。新增协议必须可由能力协商停用；Worker 变更回退前先停止新读取并清理本实例临时资源。</w:t>
      </w:r>
    </w:p>
    <w:p>
      <w:pPr>
        <w:pStyle w:val="Heading2"/>
      </w:pPr>
      <w:r>
        <w:t>可直接交给编码 Agent 的执行要求</w:t>
      </w:r>
    </w:p>
    <w:p>
      <w:r>
        <w:t>请按本文对 Axiom2 做最小修复。先复核当前源码和实际构建入口，列出证据与最小变更面；保留用户体验和所有现有交互，先完成 P0，再基于分段性能数据推进后续阶段。不得用新加载页、分页、虚拟化、内容裁剪、删 scope key 或改变按钮门槛取得表面提速。</w:t>
      </w:r>
    </w:p>
    <w:p>
      <w:r>
        <w:t>把设置页挂载前资源失败、WebSocket 连接事实/订阅错误、历史完整性/新鲜度分开处理。任何旧异步结果必须校验当前 scope、generation 与 attempt；只读操作才可有界恢复，写操作不得自动重放。后台读取必须先证明追加、压缩、回滚和文件替换的一致性边界。</w:t>
      </w:r>
    </w:p>
    <w:p>
      <w:r>
        <w:t>每个阶段交付代码差异、涉及文件、正常 UI/操作等价结果、必要的故障/竞态测试以及修复前后 p50/p95 与资源数据。尚未跑出的结果标为待测，不能宣称已解决整窗黑白屏。只在现有授权和发布流程内提交/发布。</w:t>
      </w:r>
    </w:p>
    <w:p>
      <w:r>
        <w:br w:type="page"/>
      </w:r>
    </w:p>
    <w:p>
      <w:pPr>
        <w:pStyle w:val="Heading1"/>
      </w:pPr>
      <w:r>
        <w:t>附录 A. 源码证据与范围</w:t>
      </w:r>
    </w:p>
    <w:p>
      <w:r>
        <w:t>来源为本次只读审查可见文件。主工作区根路径：F:/Axiom2；下列相对路径均相对于该根。核心会话证据与设置入口文件已分批复核 revision，未构成原子仓库快照。生成期间根侧追加静态路由读取发生超时，因此没有把未读到的静态路由实现写成确定结论。安装版本、实际网络轨迹、SDK 依赖内部与 GPU/渲染进程状态未验证。</w:t>
      </w:r>
    </w:p>
    <w:p>
      <w:r>
        <w:t>每条证据列出精确行段和完整 revision，供实施时重新对照。源文件若发生变化，先重读对应范围；尤其不得把历史 artifacts 或较旧审查摘录当作当前实现。</w:t>
      </w:r>
    </w:p>
    <w:p>
      <w:pPr>
        <w:keepNext/>
        <w:spacing w:after="20"/>
      </w:pPr>
      <w:r>
        <w:rPr>
          <w:b/>
          <w:sz w:val="18"/>
        </w:rPr>
        <w:t>[E01] app/src/client/main.tsx  |  行 9–36</w:t>
      </w:r>
    </w:p>
    <w:p>
      <w:pPr>
        <w:spacing w:after="140"/>
      </w:pPr>
      <w:r>
        <w:rPr>
          <w:rFonts w:ascii="DejaVu Sans Mono" w:hAnsi="DejaVu Sans Mono"/>
          <w:sz w:val="15"/>
        </w:rPr>
        <w:t>rev_11451b9577a134a27d68adccf13d40d60ff79d74879bf7ac1d3127d7e82a0fbf</w:t>
      </w:r>
    </w:p>
    <w:p>
      <w:pPr>
        <w:keepNext/>
        <w:spacing w:after="20"/>
      </w:pPr>
      <w:r>
        <w:rPr>
          <w:b/>
          <w:sz w:val="18"/>
        </w:rPr>
        <w:t>[E02] app/src/client/index.html  |  行 1–2</w:t>
      </w:r>
    </w:p>
    <w:p>
      <w:pPr>
        <w:spacing w:after="140"/>
      </w:pPr>
      <w:r>
        <w:rPr>
          <w:rFonts w:ascii="DejaVu Sans Mono" w:hAnsi="DejaVu Sans Mono"/>
          <w:sz w:val="15"/>
        </w:rPr>
        <w:t>rev_d4c0b87faba35411dcfb093195cbf00e2654e2fc30efd55d8ebfa6e0c70e5d0e</w:t>
      </w:r>
    </w:p>
    <w:p>
      <w:pPr>
        <w:keepNext/>
        <w:spacing w:after="20"/>
      </w:pPr>
      <w:r>
        <w:rPr>
          <w:b/>
          <w:sz w:val="18"/>
        </w:rPr>
        <w:t>[E03] app/src/client/pages/Workbench.tsx  |  行 26；166–169；191–215；237–245；266–276</w:t>
      </w:r>
    </w:p>
    <w:p>
      <w:pPr>
        <w:spacing w:after="140"/>
      </w:pPr>
      <w:r>
        <w:rPr>
          <w:rFonts w:ascii="DejaVu Sans Mono" w:hAnsi="DejaVu Sans Mono"/>
          <w:sz w:val="15"/>
        </w:rPr>
        <w:t>rev_10e747ba8135430ce9d8f8faabad8b183b6aa935e76f82808700d78ec287fcb9</w:t>
      </w:r>
    </w:p>
    <w:p>
      <w:pPr>
        <w:keepNext/>
        <w:spacing w:after="20"/>
      </w:pPr>
      <w:r>
        <w:rPr>
          <w:b/>
          <w:sz w:val="18"/>
        </w:rPr>
        <w:t>[E04] app/src/client/pages/Settings.tsx  |  行 1–17；37–59</w:t>
      </w:r>
    </w:p>
    <w:p>
      <w:pPr>
        <w:spacing w:after="140"/>
      </w:pPr>
      <w:r>
        <w:rPr>
          <w:rFonts w:ascii="DejaVu Sans Mono" w:hAnsi="DejaVu Sans Mono"/>
          <w:sz w:val="15"/>
        </w:rPr>
        <w:t>rev_e6eba38b7e0e4c14bd54e64d116f16e8c2c70e3701a7ee34eb65479aeb1038b6</w:t>
      </w:r>
    </w:p>
    <w:p>
      <w:pPr>
        <w:keepNext/>
        <w:spacing w:after="20"/>
      </w:pPr>
      <w:r>
        <w:rPr>
          <w:b/>
          <w:sz w:val="18"/>
        </w:rPr>
        <w:t>[E05a] app/src/client/styles/tokens.css  |  行 1–10</w:t>
      </w:r>
    </w:p>
    <w:p>
      <w:pPr>
        <w:spacing w:after="140"/>
      </w:pPr>
      <w:r>
        <w:rPr>
          <w:rFonts w:ascii="DejaVu Sans Mono" w:hAnsi="DejaVu Sans Mono"/>
          <w:sz w:val="15"/>
        </w:rPr>
        <w:t>rev_27968cf236a2d78a1c4e48dd0a4533c6383334ea04c92f043a09f3302c27547d</w:t>
      </w:r>
    </w:p>
    <w:p>
      <w:pPr>
        <w:keepNext/>
        <w:spacing w:after="20"/>
      </w:pPr>
      <w:r>
        <w:rPr>
          <w:b/>
          <w:sz w:val="18"/>
        </w:rPr>
        <w:t>[E05b] app/src/client/styles/settings.css  |  行 1–2</w:t>
      </w:r>
    </w:p>
    <w:p>
      <w:pPr>
        <w:spacing w:after="140"/>
      </w:pPr>
      <w:r>
        <w:rPr>
          <w:rFonts w:ascii="DejaVu Sans Mono" w:hAnsi="DejaVu Sans Mono"/>
          <w:sz w:val="15"/>
        </w:rPr>
        <w:t>rev_dbf38b402ef774b02324c95b993854ba1b2627b40bd3dccaa4f3f048418c77ef</w:t>
      </w:r>
    </w:p>
    <w:p>
      <w:pPr>
        <w:keepNext/>
        <w:spacing w:after="20"/>
      </w:pPr>
      <w:r>
        <w:rPr>
          <w:b/>
          <w:sz w:val="18"/>
        </w:rPr>
        <w:t>[E05c] app/src/client/styles/models.css  |  行 3–6</w:t>
      </w:r>
    </w:p>
    <w:p>
      <w:pPr>
        <w:spacing w:after="140"/>
      </w:pPr>
      <w:r>
        <w:rPr>
          <w:rFonts w:ascii="DejaVu Sans Mono" w:hAnsi="DejaVu Sans Mono"/>
          <w:sz w:val="15"/>
        </w:rPr>
        <w:t>rev_1f6ee62c0fe69a9902ab985fa2b71bcb10fb6ac27b5372c38436477cd7a24a08</w:t>
      </w:r>
    </w:p>
    <w:p>
      <w:pPr>
        <w:keepNext/>
        <w:spacing w:after="20"/>
      </w:pPr>
      <w:r>
        <w:rPr>
          <w:b/>
          <w:sz w:val="18"/>
        </w:rPr>
        <w:t>[E06] app/desktop/axiom_views.rs  |  行 56–66；86–114</w:t>
      </w:r>
    </w:p>
    <w:p>
      <w:pPr>
        <w:spacing w:after="140"/>
      </w:pPr>
      <w:r>
        <w:rPr>
          <w:rFonts w:ascii="DejaVu Sans Mono" w:hAnsi="DejaVu Sans Mono"/>
          <w:sz w:val="15"/>
        </w:rPr>
        <w:t>rev_b51d7e23881b92a15b1efc681472d49796f6bb4222d6a9b4574844df6d1fc55b</w:t>
      </w:r>
    </w:p>
    <w:p>
      <w:pPr>
        <w:keepNext/>
        <w:spacing w:after="20"/>
      </w:pPr>
      <w:r>
        <w:rPr>
          <w:b/>
          <w:sz w:val="18"/>
        </w:rPr>
        <w:t>[E07] app/src/client/transport.ts  |  行 152–162；250–252；305；317–355</w:t>
      </w:r>
    </w:p>
    <w:p>
      <w:pPr>
        <w:spacing w:after="140"/>
      </w:pPr>
      <w:r>
        <w:rPr>
          <w:rFonts w:ascii="DejaVu Sans Mono" w:hAnsi="DejaVu Sans Mono"/>
          <w:sz w:val="15"/>
        </w:rPr>
        <w:t>rev_1be4f9389ef4f793e91c99ca4beecb5bd4a72e02b17248bad08d4b5d15e85328</w:t>
      </w:r>
    </w:p>
    <w:p>
      <w:pPr>
        <w:keepNext/>
        <w:spacing w:after="20"/>
      </w:pPr>
      <w:r>
        <w:rPr>
          <w:b/>
          <w:sz w:val="18"/>
        </w:rPr>
        <w:t>[E08] app/src/client/chat/Composer.tsx  |  行 38–42；170–194；268–275</w:t>
      </w:r>
    </w:p>
    <w:p>
      <w:pPr>
        <w:spacing w:after="140"/>
      </w:pPr>
      <w:r>
        <w:rPr>
          <w:rFonts w:ascii="DejaVu Sans Mono" w:hAnsi="DejaVu Sans Mono"/>
          <w:sz w:val="15"/>
        </w:rPr>
        <w:t>rev_760e463be07fa2a652d784acfe52fc07d114ee3ec59958fb5ffc2e5509328edf</w:t>
      </w:r>
    </w:p>
    <w:p>
      <w:pPr>
        <w:keepNext/>
        <w:spacing w:after="20"/>
      </w:pPr>
      <w:r>
        <w:rPr>
          <w:b/>
          <w:sz w:val="18"/>
        </w:rPr>
        <w:t>[E09] app/src/client/chat/AgentThread.tsx  |  行 41–55；100–151</w:t>
      </w:r>
    </w:p>
    <w:p>
      <w:pPr>
        <w:spacing w:after="140"/>
      </w:pPr>
      <w:r>
        <w:rPr>
          <w:rFonts w:ascii="DejaVu Sans Mono" w:hAnsi="DejaVu Sans Mono"/>
          <w:sz w:val="15"/>
        </w:rPr>
        <w:t>rev_ea1e3adc5d7abb4217bb7e2514c629ca8962dbfe0790075aa7d879b30959cf56</w:t>
      </w:r>
    </w:p>
    <w:p>
      <w:pPr>
        <w:keepNext/>
        <w:spacing w:after="20"/>
      </w:pPr>
      <w:r>
        <w:rPr>
          <w:b/>
          <w:sz w:val="18"/>
        </w:rPr>
        <w:t>[E10a] app/src/client/chat/useReadReceipt.ts  |  行 1–50</w:t>
      </w:r>
    </w:p>
    <w:p>
      <w:pPr>
        <w:spacing w:after="140"/>
      </w:pPr>
      <w:r>
        <w:rPr>
          <w:rFonts w:ascii="DejaVu Sans Mono" w:hAnsi="DejaVu Sans Mono"/>
          <w:sz w:val="15"/>
        </w:rPr>
        <w:t>rev_3dd5eae24706eb2f26eef455c46b7a6a1190a87a3fec4dcc4a39059c9487cd30</w:t>
      </w:r>
    </w:p>
    <w:p>
      <w:pPr>
        <w:keepNext/>
        <w:spacing w:after="20"/>
      </w:pPr>
      <w:r>
        <w:rPr>
          <w:b/>
          <w:sz w:val="18"/>
        </w:rPr>
        <w:t>[E10b] app/src/client/workspaces/useWorkspaceView.ts  |  行 29–44；66–69</w:t>
      </w:r>
    </w:p>
    <w:p>
      <w:pPr>
        <w:spacing w:after="140"/>
      </w:pPr>
      <w:r>
        <w:rPr>
          <w:rFonts w:ascii="DejaVu Sans Mono" w:hAnsi="DejaVu Sans Mono"/>
          <w:sz w:val="15"/>
        </w:rPr>
        <w:t>rev_6387f14835b8794b45e0a9258f60328cee40d2e61c90304267868d190ed3a1c1</w:t>
      </w:r>
    </w:p>
    <w:p>
      <w:pPr>
        <w:keepNext/>
        <w:spacing w:after="20"/>
      </w:pPr>
      <w:r>
        <w:rPr>
          <w:b/>
          <w:sz w:val="18"/>
        </w:rPr>
        <w:t>[E11a] app/src/server/storage.ts  |  行 246–250</w:t>
      </w:r>
    </w:p>
    <w:p>
      <w:pPr>
        <w:spacing w:after="140"/>
      </w:pPr>
      <w:r>
        <w:rPr>
          <w:rFonts w:ascii="DejaVu Sans Mono" w:hAnsi="DejaVu Sans Mono"/>
          <w:sz w:val="15"/>
        </w:rPr>
        <w:t>rev_3fa6874f047d944d2eaf945ad8952e131d6a454605bc5bede4b28a50c75059e2</w:t>
      </w:r>
    </w:p>
    <w:p>
      <w:pPr>
        <w:keepNext/>
        <w:spacing w:after="20"/>
      </w:pPr>
      <w:r>
        <w:rPr>
          <w:b/>
          <w:sz w:val="18"/>
        </w:rPr>
        <w:t>[E11b] app/src/shared/protocol.ts  |  行 55–61；122–129</w:t>
      </w:r>
    </w:p>
    <w:p>
      <w:pPr>
        <w:spacing w:after="140"/>
      </w:pPr>
      <w:r>
        <w:rPr>
          <w:rFonts w:ascii="DejaVu Sans Mono" w:hAnsi="DejaVu Sans Mono"/>
          <w:sz w:val="15"/>
        </w:rPr>
        <w:t>rev_c00b6c11ac738984aa32271d11c890566f075cd95ee2a93eacc8e0f6bb86c674</w:t>
      </w:r>
    </w:p>
    <w:p>
      <w:pPr>
        <w:keepNext/>
        <w:spacing w:after="20"/>
      </w:pPr>
      <w:r>
        <w:rPr>
          <w:b/>
          <w:sz w:val="18"/>
        </w:rPr>
        <w:t>[E12] app/src/server/index.ts  |  行 97–130；285–324</w:t>
      </w:r>
    </w:p>
    <w:p>
      <w:pPr>
        <w:spacing w:after="140"/>
      </w:pPr>
      <w:r>
        <w:rPr>
          <w:rFonts w:ascii="DejaVu Sans Mono" w:hAnsi="DejaVu Sans Mono"/>
          <w:sz w:val="15"/>
        </w:rPr>
        <w:t>rev_4530383faf7e9ee418f0867670d8d4032ed6ef494613021dcec023c310487ef0</w:t>
      </w:r>
    </w:p>
    <w:p>
      <w:pPr>
        <w:keepNext/>
        <w:spacing w:after="20"/>
      </w:pPr>
      <w:r>
        <w:rPr>
          <w:b/>
          <w:sz w:val="18"/>
        </w:rPr>
        <w:t>[E13] app/src/server/outgoing.ts  |  行 4–10；28–34；63–109</w:t>
      </w:r>
    </w:p>
    <w:p>
      <w:pPr>
        <w:spacing w:after="140"/>
      </w:pPr>
      <w:r>
        <w:rPr>
          <w:rFonts w:ascii="DejaVu Sans Mono" w:hAnsi="DejaVu Sans Mono"/>
          <w:sz w:val="15"/>
        </w:rPr>
        <w:t>rev_e1409a055dbb32fe6c7dbfbdf1a64afc46c360db75d8d7c871bd91725d47db92</w:t>
      </w:r>
    </w:p>
    <w:p>
      <w:pPr>
        <w:keepNext/>
        <w:spacing w:after="20"/>
      </w:pPr>
      <w:r>
        <w:rPr>
          <w:b/>
          <w:sz w:val="18"/>
        </w:rPr>
        <w:t>[E14a] app/src/client/chat/useFullMessage.ts  |  行 7–30</w:t>
      </w:r>
    </w:p>
    <w:p>
      <w:pPr>
        <w:spacing w:after="140"/>
      </w:pPr>
      <w:r>
        <w:rPr>
          <w:rFonts w:ascii="DejaVu Sans Mono" w:hAnsi="DejaVu Sans Mono"/>
          <w:sz w:val="15"/>
        </w:rPr>
        <w:t>rev_c1b6a79bc43c27f02f7f320fa3cdb1161713da009e783e59e83c2438db38a7e3</w:t>
      </w:r>
    </w:p>
    <w:p>
      <w:pPr>
        <w:keepNext/>
        <w:spacing w:after="20"/>
      </w:pPr>
      <w:r>
        <w:rPr>
          <w:b/>
          <w:sz w:val="18"/>
        </w:rPr>
        <w:t>[E14b] app/src/client/chat/Message.tsx  |  行 72–74；125–129</w:t>
      </w:r>
    </w:p>
    <w:p>
      <w:pPr>
        <w:spacing w:after="140"/>
      </w:pPr>
      <w:r>
        <w:rPr>
          <w:rFonts w:ascii="DejaVu Sans Mono" w:hAnsi="DejaVu Sans Mono"/>
          <w:sz w:val="15"/>
        </w:rPr>
        <w:t>rev_e694a1b47160240d92edc6f6828bc8fab393213bda6be26cab7eb382f7b84e57</w:t>
      </w:r>
    </w:p>
    <w:p>
      <w:pPr>
        <w:keepNext/>
        <w:spacing w:after="20"/>
      </w:pPr>
      <w:r>
        <w:rPr>
          <w:b/>
          <w:sz w:val="18"/>
        </w:rPr>
        <w:t>[E14c] app/src/shared/agent.ts  |  行 97–115</w:t>
      </w:r>
    </w:p>
    <w:p>
      <w:pPr>
        <w:spacing w:after="140"/>
      </w:pPr>
      <w:r>
        <w:rPr>
          <w:rFonts w:ascii="DejaVu Sans Mono" w:hAnsi="DejaVu Sans Mono"/>
          <w:sz w:val="15"/>
        </w:rPr>
        <w:t>rev_17798f9c073fd7fd679fd7eb8e3eda75376bd171e5c983649de85a5fc3a0f16c</w:t>
      </w:r>
    </w:p>
    <w:p>
      <w:pPr>
        <w:keepNext/>
        <w:spacing w:after="20"/>
      </w:pPr>
      <w:r>
        <w:rPr>
          <w:b/>
          <w:sz w:val="18"/>
        </w:rPr>
        <w:t>[E15] app/src/client/chat/derived-cache.ts  |  行 7–28</w:t>
      </w:r>
    </w:p>
    <w:p>
      <w:pPr>
        <w:spacing w:after="140"/>
      </w:pPr>
      <w:r>
        <w:rPr>
          <w:rFonts w:ascii="DejaVu Sans Mono" w:hAnsi="DejaVu Sans Mono"/>
          <w:sz w:val="15"/>
        </w:rPr>
        <w:t>rev_5992b97510e5afcd626bd4116426938ab87dd00503fcd3a3327bafc0dca3fd7e</w:t>
      </w:r>
    </w:p>
    <w:p>
      <w:pPr>
        <w:keepNext/>
        <w:spacing w:after="20"/>
      </w:pPr>
      <w:r>
        <w:rPr>
          <w:b/>
          <w:sz w:val="18"/>
        </w:rPr>
        <w:t>[E16a] app/src/client/chat/Markdown.tsx  |  行 127–130</w:t>
      </w:r>
    </w:p>
    <w:p>
      <w:pPr>
        <w:spacing w:after="140"/>
      </w:pPr>
      <w:r>
        <w:rPr>
          <w:rFonts w:ascii="DejaVu Sans Mono" w:hAnsi="DejaVu Sans Mono"/>
          <w:sz w:val="15"/>
        </w:rPr>
        <w:t>rev_71b2cc4527d0178a0d084f870dfaff17f658befbe2ca5d85e528bf288df26013</w:t>
      </w:r>
    </w:p>
    <w:p>
      <w:pPr>
        <w:keepNext/>
        <w:spacing w:after="20"/>
      </w:pPr>
      <w:r>
        <w:rPr>
          <w:b/>
          <w:sz w:val="18"/>
        </w:rPr>
        <w:t>[E16b] app/src/client/chat/CodeBlock.tsx  |  行 42–53</w:t>
      </w:r>
    </w:p>
    <w:p>
      <w:pPr>
        <w:spacing w:after="140"/>
      </w:pPr>
      <w:r>
        <w:rPr>
          <w:rFonts w:ascii="DejaVu Sans Mono" w:hAnsi="DejaVu Sans Mono"/>
          <w:sz w:val="15"/>
        </w:rPr>
        <w:t>rev_ae7f5180b8737eec216819c5a3b332e7024a3f6da22f4da71467eea077a04bf9</w:t>
      </w:r>
    </w:p>
    <w:p>
      <w:pPr>
        <w:keepNext/>
        <w:spacing w:after="20"/>
      </w:pPr>
      <w:r>
        <w:rPr>
          <w:b/>
          <w:sz w:val="18"/>
        </w:rPr>
        <w:t>[E17a] app/src/client/chat/ToolActivity.tsx  |  行 41–44；109–113</w:t>
      </w:r>
    </w:p>
    <w:p>
      <w:pPr>
        <w:spacing w:after="140"/>
      </w:pPr>
      <w:r>
        <w:rPr>
          <w:rFonts w:ascii="DejaVu Sans Mono" w:hAnsi="DejaVu Sans Mono"/>
          <w:sz w:val="15"/>
        </w:rPr>
        <w:t>rev_3989726a90073422105ad302e874ab076a15dcf73c344f5065c938afb6a0d34b</w:t>
      </w:r>
    </w:p>
    <w:p>
      <w:pPr>
        <w:keepNext/>
        <w:spacing w:after="20"/>
      </w:pPr>
      <w:r>
        <w:rPr>
          <w:b/>
          <w:sz w:val="18"/>
        </w:rPr>
        <w:t>[E17b] app/src/client/chat/ActivityFacts.tsx  |  行 12–18；39–43；55–66；77–80</w:t>
      </w:r>
    </w:p>
    <w:p>
      <w:pPr>
        <w:spacing w:after="140"/>
      </w:pPr>
      <w:r>
        <w:rPr>
          <w:rFonts w:ascii="DejaVu Sans Mono" w:hAnsi="DejaVu Sans Mono"/>
          <w:sz w:val="15"/>
        </w:rPr>
        <w:t>rev_739ccdd6d2a26b53bad5a66ae5484ff508bdf639d1ef513cf81fa0629ccfa8bc</w:t>
      </w:r>
    </w:p>
    <w:p>
      <w:pPr>
        <w:keepNext/>
        <w:spacing w:after="20"/>
      </w:pPr>
      <w:r>
        <w:rPr>
          <w:b/>
          <w:sz w:val="18"/>
        </w:rPr>
        <w:t>[E17c] app/src/client/styles/chat.css  |  行 64–65</w:t>
      </w:r>
    </w:p>
    <w:p>
      <w:pPr>
        <w:spacing w:after="140"/>
      </w:pPr>
      <w:r>
        <w:rPr>
          <w:rFonts w:ascii="DejaVu Sans Mono" w:hAnsi="DejaVu Sans Mono"/>
          <w:sz w:val="15"/>
        </w:rPr>
        <w:t>rev_8b5d52c881368018e306f49b89df91fa864538465013d3862197b4dcda48d269</w:t>
      </w:r>
    </w:p>
    <w:p>
      <w:pPr>
        <w:keepNext/>
        <w:spacing w:after="20"/>
      </w:pPr>
      <w:r>
        <w:rPr>
          <w:b/>
          <w:sz w:val="18"/>
        </w:rPr>
        <w:t>[E18a] app/src/client/chat/ReplyAnnotations.tsx  |  行 64–78；129–143</w:t>
      </w:r>
    </w:p>
    <w:p>
      <w:pPr>
        <w:spacing w:after="140"/>
      </w:pPr>
      <w:r>
        <w:rPr>
          <w:rFonts w:ascii="DejaVu Sans Mono" w:hAnsi="DejaVu Sans Mono"/>
          <w:sz w:val="15"/>
        </w:rPr>
        <w:t>rev_96c03647b39fe9b4c34b0ff7a16a9b806c990d36cde09ae9119846ec59a4532e</w:t>
      </w:r>
    </w:p>
    <w:p>
      <w:pPr>
        <w:keepNext/>
        <w:spacing w:after="20"/>
      </w:pPr>
      <w:r>
        <w:rPr>
          <w:b/>
          <w:sz w:val="18"/>
        </w:rPr>
        <w:t>[E18b] app/src/client/chat/reply-annotations.ts  |  行 21–29</w:t>
      </w:r>
    </w:p>
    <w:p>
      <w:pPr>
        <w:spacing w:after="140"/>
      </w:pPr>
      <w:r>
        <w:rPr>
          <w:rFonts w:ascii="DejaVu Sans Mono" w:hAnsi="DejaVu Sans Mono"/>
          <w:sz w:val="15"/>
        </w:rPr>
        <w:t>rev_c15684e1cb42125025d7efd8eae328a1213126e1f22f79ff9d7bc68459da0c3f</w:t>
      </w:r>
    </w:p>
    <w:p>
      <w:pPr>
        <w:keepNext/>
        <w:spacing w:after="20"/>
      </w:pPr>
      <w:r>
        <w:rPr>
          <w:b/>
          <w:sz w:val="18"/>
        </w:rPr>
        <w:t>[E19] app/src/client/chat/useStickyDisclosures.ts  |  行 8–86</w:t>
      </w:r>
    </w:p>
    <w:p>
      <w:pPr>
        <w:spacing w:after="140"/>
      </w:pPr>
      <w:r>
        <w:rPr>
          <w:rFonts w:ascii="DejaVu Sans Mono" w:hAnsi="DejaVu Sans Mono"/>
          <w:sz w:val="15"/>
        </w:rPr>
        <w:t>rev_61abdbc0c14c285b597ad0e34dd71c6792f544eba8437b684539e7e9ccf132f2</w:t>
      </w:r>
    </w:p>
    <w:p>
      <w:pPr>
        <w:keepNext/>
        <w:spacing w:after="20"/>
      </w:pPr>
      <w:r>
        <w:rPr>
          <w:b/>
          <w:sz w:val="18"/>
        </w:rPr>
        <w:t>[E20] app/src/server/agents/views.ts  |  行 28；55–62；87–169</w:t>
      </w:r>
    </w:p>
    <w:p>
      <w:pPr>
        <w:spacing w:after="140"/>
      </w:pPr>
      <w:r>
        <w:rPr>
          <w:rFonts w:ascii="DejaVu Sans Mono" w:hAnsi="DejaVu Sans Mono"/>
          <w:sz w:val="15"/>
        </w:rPr>
        <w:t>rev_75d3b88c701281f538425f4ae4f7bd3588cdd26dde55177bf5df3d1c8a2b9cf7</w:t>
      </w:r>
    </w:p>
    <w:p>
      <w:pPr>
        <w:keepNext/>
        <w:spacing w:after="20"/>
      </w:pPr>
      <w:r>
        <w:rPr>
          <w:b/>
          <w:sz w:val="18"/>
        </w:rPr>
        <w:t>[E21] app/src/server/transcript.ts  |  行 140–181；190–224</w:t>
      </w:r>
    </w:p>
    <w:p>
      <w:pPr>
        <w:spacing w:after="140"/>
      </w:pPr>
      <w:r>
        <w:rPr>
          <w:rFonts w:ascii="DejaVu Sans Mono" w:hAnsi="DejaVu Sans Mono"/>
          <w:sz w:val="15"/>
        </w:rPr>
        <w:t>rev_d89fd6c130faab116fa9993db16e0d507d4eb58df8220078708ddc852d9d9719</w:t>
      </w:r>
    </w:p>
    <w:p>
      <w:pPr>
        <w:keepNext/>
        <w:spacing w:after="20"/>
      </w:pPr>
      <w:r>
        <w:rPr>
          <w:b/>
          <w:sz w:val="18"/>
        </w:rPr>
        <w:t>[E22] app/src/server/agents.ts  |  行 84–85</w:t>
      </w:r>
    </w:p>
    <w:p>
      <w:pPr>
        <w:spacing w:after="140"/>
      </w:pPr>
      <w:r>
        <w:rPr>
          <w:rFonts w:ascii="DejaVu Sans Mono" w:hAnsi="DejaVu Sans Mono"/>
          <w:sz w:val="15"/>
        </w:rPr>
        <w:t>rev_a6bbdeb030d9a8220a9586bdb53ec6d6d368754061035250b3761374e3752baf</w:t>
      </w:r>
    </w:p>
    <w:p>
      <w:pPr>
        <w:keepNext/>
        <w:spacing w:after="20"/>
      </w:pPr>
      <w:r>
        <w:rPr>
          <w:b/>
          <w:sz w:val="18"/>
        </w:rPr>
        <w:t>[E23] app/tests/session-loading.perf.ts  |  行 1–35</w:t>
      </w:r>
    </w:p>
    <w:p>
      <w:pPr>
        <w:spacing w:after="140"/>
      </w:pPr>
      <w:r>
        <w:rPr>
          <w:rFonts w:ascii="DejaVu Sans Mono" w:hAnsi="DejaVu Sans Mono"/>
          <w:sz w:val="15"/>
        </w:rPr>
        <w:t>rev_90a32efc6b045a79a441eea1ddec3d434de1fdbaf57729db08eecd5fc169092e</w:t>
      </w:r>
    </w:p>
    <w:p>
      <w:pPr>
        <w:pStyle w:val="Heading1"/>
      </w:pPr>
      <w:r>
        <w:t>附录 B. 原理参考</w:t>
      </w:r>
    </w:p>
    <w:p>
      <w:r>
        <w:t>[R1] React 官方文档：useLayoutEffect。用于解释同步布局 effect 对绘制的影响，不作为现场性能数据。</w:t>
      </w:r>
    </w:p>
    <w:p>
      <w:r>
        <w:t>https://react.dev/reference/react/useLayoutEffect</w:t>
      </w:r>
    </w:p>
    <w:p>
      <w:r>
        <w:t>[R2] Node.js 官方文档：Don’t Block the Event Loop (or the Worker Pool)。用于解释长同步任务对其他请求的影响。</w:t>
      </w:r>
    </w:p>
    <w:p>
      <w:r>
        <w:t>https://nodejs.org/learn/asynchronous-work/dont-block-the-event-loop</w:t>
      </w:r>
    </w:p>
    <w:p>
      <w:r>
        <w:t>验收结论填写栏：构建版本 ______；测试设备 ______；通过场景 ______；p50/p95 对比 ______；剩余问题 ______。未填写并附证据前，本文件状态保持“实施方案 / 待验证”。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2026-10-18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AXIOM2  /  修复实施文档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00"/>
      <w:snapToGrid w:val="0"/>
    </w:pPr>
    <w:rPr>
      <w:rFonts w:ascii="Noto Sans CJK SC" w:hAnsi="Noto Sans CJK SC" w:eastAsia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  <w:snapToGrid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  <w:snapToGrid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  <w:snapToGrid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snapToGrid w:val="0"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Axiom2 会话切换、设置页与 WebSocket 卡顿黑白屏修复实施方案</dc:title>
  <dc:subject>不改变用户体验和现有交互的源码修复、实施与验收</dc:subject>
  <dc:creator/>
  <cp:keywords>Axiom2, 会话切换, 设置页, WebSocket, 卡顿, 白屏, 修复方案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