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Selecionar </w:t>
      </w:r>
      <w:r>
        <w:rPr>
          <w:rFonts w:hint="default"/>
        </w:rPr>
        <w:t>“Selecione um tipo de Gráfico” faz o gráfico sumir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Estabelecimentos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"https://github.com/chartjs/Chart.js/issues/3761"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https://github.com/chartjs/Chart.js/issues/3761</w:t>
      </w:r>
      <w:r>
        <w:rPr>
          <w:rFonts w:hint="default"/>
        </w:rPr>
        <w:fldChar w:fldCharType="end"/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Informacao específica no hover das divisões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84278"/>
  </w:num>
  <w:num w:numId="2">
    <w:abstractNumId w:val="1505478848"/>
  </w:num>
  <w:num w:numId="3">
    <w:abstractNumId w:val="1505754213"/>
  </w:num>
  <w:num w:numId="4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FFDE03E"/>
    <w:rsid w:val="6FFF6889"/>
    <w:rsid w:val="7DF40750"/>
    <w:rsid w:val="7FEF91A7"/>
    <w:rsid w:val="FFE7F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2017-09-15T06:26:00Z</dcterms:created>
  <dc:creator>lucasfernandes</dc:creator>
  <cp:lastModifiedBy>lucasfernandes</cp:lastModifiedBy>
  <dcterms:modified xsi:type="dcterms:W3CDTF">2017-09-18T16:20:02Z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