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Esquema</w:t>
      </w:r>
      <w:r>
        <w:t xml:space="preserve"> </w:t>
      </w:r>
      <w:r>
        <w:t xml:space="preserve">de</w:t>
      </w:r>
      <w:r>
        <w:t xml:space="preserve"> </w:t>
      </w:r>
      <w:r>
        <w:t xml:space="preserve">muestreo</w:t>
      </w:r>
    </w:p>
    <w:p>
      <w:pPr>
        <w:pStyle w:val="Subtitle"/>
      </w:pPr>
      <w:r>
        <w:t xml:space="preserve">Chihuahua,</w:t>
      </w:r>
      <w:r>
        <w:t xml:space="preserve"> </w:t>
      </w:r>
      <w:r>
        <w:t xml:space="preserve">Colima,</w:t>
      </w:r>
      <w:r>
        <w:t xml:space="preserve"> </w:t>
      </w:r>
      <w:r>
        <w:t xml:space="preserve">Nayarit</w:t>
      </w:r>
      <w:r>
        <w:t xml:space="preserve"> </w:t>
      </w:r>
      <w:r>
        <w:t xml:space="preserve">y</w:t>
      </w:r>
      <w:r>
        <w:t xml:space="preserve"> </w:t>
      </w:r>
      <w:r>
        <w:t xml:space="preserve">Zacatecas</w:t>
      </w:r>
    </w:p>
    <w:p>
      <w:pPr>
        <w:pStyle w:val="Author"/>
      </w:pPr>
      <w:r>
        <w:t xml:space="preserve">M.</w:t>
      </w:r>
      <w:r>
        <w:t xml:space="preserve"> </w:t>
      </w:r>
      <w:r>
        <w:t xml:space="preserve">Anzarut,</w:t>
      </w:r>
      <w:r>
        <w:t xml:space="preserve"> </w:t>
      </w:r>
      <w:r>
        <w:t xml:space="preserve">F.</w:t>
      </w:r>
      <w:r>
        <w:t xml:space="preserve"> </w:t>
      </w:r>
      <w:r>
        <w:t xml:space="preserve">González,</w:t>
      </w:r>
      <w:r>
        <w:t xml:space="preserve"> </w:t>
      </w:r>
      <w:r>
        <w:t xml:space="preserve">I.</w:t>
      </w:r>
      <w:r>
        <w:t xml:space="preserve"> </w:t>
      </w:r>
      <w:r>
        <w:t xml:space="preserve">Meza,</w:t>
      </w:r>
      <w:r>
        <w:t xml:space="preserve"> </w:t>
      </w:r>
      <w:r>
        <w:t xml:space="preserve">T.</w:t>
      </w:r>
      <w:r>
        <w:t xml:space="preserve"> </w:t>
      </w:r>
      <w:r>
        <w:t xml:space="preserve">Ortiz</w:t>
      </w:r>
    </w:p>
    <w:p>
      <w:pPr>
        <w:pStyle w:val="Heading3"/>
      </w:pPr>
      <w:bookmarkStart w:id="20" w:name="método"/>
      <w:r>
        <w:t xml:space="preserve">Método</w:t>
      </w:r>
      <w:bookmarkEnd w:id="20"/>
    </w:p>
    <w:p>
      <w:pPr>
        <w:pStyle w:val="FirstParagraph"/>
      </w:pPr>
      <w:r>
        <w:t xml:space="preserve">El objetivo del conteo rápido es estimar la proporción de votos en favor de cada candidato. Para cumplir esto, se selecciona una muestra aleatoria de casillas del total y, con la muestra, se calculan intervalos del 95% de confianza para la proporción de votos de cada candidato. A continuación explicamos el criterio bajo el cuál se colectará dicha muestra aleatoria para Chihuahua, Nayarit, Zacatecas y Colima.</w:t>
      </w:r>
    </w:p>
    <w:p>
      <w:pPr>
        <w:pStyle w:val="BodyText"/>
      </w:pPr>
      <w:r>
        <w:t xml:space="preserve">El diseño muestral será estratificado en donde, al interior de cada estrato, se seleccionarán casillas mediante un muestreo aleatorio simple sin reemplazo. La asignación de muestra será proporcional al tamaño de cada estrato. Para definir los estratos a emplear:</w:t>
      </w:r>
    </w:p>
    <w:p>
      <w:pPr>
        <w:pStyle w:val="Compact"/>
        <w:numPr>
          <w:numId w:val="1001"/>
          <w:ilvl w:val="0"/>
        </w:numPr>
      </w:pPr>
      <w:r>
        <w:t xml:space="preserve">Se crean distintas posibles estratificaciones a partir de cruces de algunas variables.</w:t>
      </w:r>
    </w:p>
    <w:p>
      <w:pPr>
        <w:pStyle w:val="Compact"/>
        <w:numPr>
          <w:numId w:val="1001"/>
          <w:ilvl w:val="0"/>
        </w:numPr>
      </w:pPr>
      <w:r>
        <w:t xml:space="preserve">Para cada estado, para cada una de las estratificaciones y para distintos tamaños de muestra, se simulan 200 muestras utilizando como marco la tabla de cómputos distritales del 2018.</w:t>
      </w:r>
    </w:p>
    <w:p>
      <w:pPr>
        <w:pStyle w:val="Compact"/>
        <w:numPr>
          <w:numId w:val="1001"/>
          <w:ilvl w:val="0"/>
        </w:numPr>
      </w:pPr>
      <w:r>
        <w:t xml:space="preserve">Con estas muestras se estiman los intervalos de 95% de confianza para la proporción de votos.</w:t>
      </w:r>
    </w:p>
    <w:p>
      <w:pPr>
        <w:pStyle w:val="Compact"/>
        <w:numPr>
          <w:numId w:val="1001"/>
          <w:ilvl w:val="0"/>
        </w:numPr>
      </w:pPr>
      <w:r>
        <w:t xml:space="preserve">Se evalúan ciertos criterios con el fin de elegir la estratificación más conveniente.</w:t>
      </w:r>
    </w:p>
    <w:p>
      <w:pPr>
        <w:pStyle w:val="FirstParagraph"/>
      </w:pPr>
      <w:r>
        <w:t xml:space="preserve">Los puntos importantes por definir entonces son: ¿Qué estratificaciones se evaluarán? ¿Qué tamaños de muestra se evaluarán? ¿Cómo se estimarán las proporciones de votos? ¿Con qué criterios decidiremos la estratificación óptima?</w:t>
      </w:r>
    </w:p>
    <w:p>
      <w:pPr>
        <w:pStyle w:val="Heading3"/>
      </w:pPr>
      <w:bookmarkStart w:id="21" w:name="estratifiaciones-evaluadas"/>
      <w:r>
        <w:t xml:space="preserve">Estratifiaciones evaluadas</w:t>
      </w:r>
      <w:bookmarkEnd w:id="21"/>
    </w:p>
    <w:p>
      <w:pPr>
        <w:pStyle w:val="FirstParagraph"/>
      </w:pPr>
      <w:r>
        <w:t xml:space="preserve">Utilizamos cuatro variables para construir estratificaciones:</w:t>
      </w:r>
    </w:p>
    <w:p>
      <w:pPr>
        <w:pStyle w:val="Compact"/>
        <w:numPr>
          <w:numId w:val="1002"/>
          <w:ilvl w:val="0"/>
        </w:numPr>
      </w:pPr>
      <w:r>
        <w:t xml:space="preserve">Distrito federal dentro de cada estado.</w:t>
      </w:r>
    </w:p>
    <w:p>
      <w:pPr>
        <w:pStyle w:val="Compact"/>
        <w:numPr>
          <w:numId w:val="1002"/>
          <w:ilvl w:val="0"/>
        </w:numPr>
      </w:pPr>
      <w:r>
        <w:t xml:space="preserve">Índice de marginacion a nivel seccion (1 o 2 subgrupos): Esta variable se crea realizando un análisis de componentes principales con los datos del censo de población y vivienda del 2010 [1] y utilizando la primera componente, que se interpreta como un índice de marginación.</w:t>
      </w:r>
    </w:p>
    <w:p>
      <w:pPr>
        <w:pStyle w:val="Compact"/>
        <w:numPr>
          <w:numId w:val="1002"/>
          <w:ilvl w:val="0"/>
        </w:numPr>
      </w:pPr>
      <w:r>
        <w:t xml:space="preserve">Tamaño de lista nominal (1 o 2 subgrupos).</w:t>
      </w:r>
    </w:p>
    <w:p>
      <w:pPr>
        <w:pStyle w:val="Compact"/>
        <w:numPr>
          <w:numId w:val="1002"/>
          <w:ilvl w:val="0"/>
        </w:numPr>
      </w:pPr>
      <w:r>
        <w:t xml:space="preserve">Índice de votos en 2015 a nivel sección. (1 o 2 subgrupos): Esta variable se crea realizando un análisis de componentes principales con los datos de votación del 2015 y utilizando la primera componente.</w:t>
      </w:r>
    </w:p>
    <w:p>
      <w:pPr>
        <w:pStyle w:val="FirstParagraph"/>
      </w:pPr>
      <w:r>
        <w:t xml:space="preserve">En cada estado, cruzamos el número de distritos federales con una de las siguientes configuraciones:</w:t>
      </w:r>
    </w:p>
    <w:tbl>
      <w:tblPr>
        <w:tblStyle w:val="Table"/>
        <w:tblW w:type="pct" w:w="5000.0"/>
        <w:tblLook w:firstRow="1"/>
      </w:tblPr>
      <w:tblGrid>
        <w:gridCol w:w="2323"/>
        <w:gridCol w:w="2217"/>
        <w:gridCol w:w="1689"/>
        <w:gridCol w:w="1689"/>
      </w:tblGrid>
      <w:tr>
        <w:trPr>
          <w:cnfStyle w:firstRow="1"/>
        </w:trPr>
        <w:tc>
          <w:tcPr>
            <w:tcBorders>
              <w:bottom w:val="single"/>
            </w:tcBorders>
            <w:vAlign w:val="bottom"/>
          </w:tcPr>
          <w:p>
            <w:pPr>
              <w:pStyle w:val="Compact"/>
              <w:jc w:val="right"/>
            </w:pPr>
            <w:r>
              <w:t xml:space="preserve">estratificacion_num</w:t>
            </w:r>
          </w:p>
        </w:tc>
        <w:tc>
          <w:tcPr>
            <w:tcBorders>
              <w:bottom w:val="single"/>
            </w:tcBorders>
            <w:vAlign w:val="bottom"/>
          </w:tcPr>
          <w:p>
            <w:pPr>
              <w:pStyle w:val="Compact"/>
              <w:jc w:val="right"/>
            </w:pPr>
            <w:r>
              <w:t xml:space="preserve">indice_marginacion</w:t>
            </w:r>
          </w:p>
        </w:tc>
        <w:tc>
          <w:tcPr>
            <w:tcBorders>
              <w:bottom w:val="single"/>
            </w:tcBorders>
            <w:vAlign w:val="bottom"/>
          </w:tcPr>
          <w:p>
            <w:pPr>
              <w:pStyle w:val="Compact"/>
              <w:jc w:val="right"/>
            </w:pPr>
            <w:r>
              <w:t xml:space="preserve">lista_nominal</w:t>
            </w:r>
          </w:p>
        </w:tc>
        <w:tc>
          <w:tcPr>
            <w:tcBorders>
              <w:bottom w:val="single"/>
            </w:tcBorders>
            <w:vAlign w:val="bottom"/>
          </w:tcPr>
          <w:p>
            <w:pPr>
              <w:pStyle w:val="Compact"/>
              <w:jc w:val="right"/>
            </w:pPr>
            <w:r>
              <w:t xml:space="preserve">indice_votos</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1</w:t>
            </w:r>
          </w:p>
        </w:tc>
      </w:tr>
      <w:tr>
        <w:tc>
          <w:p>
            <w:pPr>
              <w:pStyle w:val="Compact"/>
              <w:jc w:val="right"/>
            </w:pPr>
            <w:r>
              <w:t xml:space="preserve">4</w:t>
            </w:r>
          </w:p>
        </w:tc>
        <w:tc>
          <w:p>
            <w:pPr>
              <w:pStyle w:val="Compact"/>
              <w:jc w:val="right"/>
            </w:pPr>
            <w:r>
              <w:t xml:space="preserve">1</w:t>
            </w:r>
          </w:p>
        </w:tc>
        <w:tc>
          <w:p>
            <w:pPr>
              <w:pStyle w:val="Compact"/>
              <w:jc w:val="right"/>
            </w:pPr>
            <w:r>
              <w:t xml:space="preserve">2</w:t>
            </w:r>
          </w:p>
        </w:tc>
        <w:tc>
          <w:p>
            <w:pPr>
              <w:pStyle w:val="Compact"/>
              <w:jc w:val="right"/>
            </w:pPr>
            <w:r>
              <w:t xml:space="preserve">2</w:t>
            </w:r>
          </w:p>
        </w:tc>
      </w:tr>
      <w:tr>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1</w:t>
            </w:r>
          </w:p>
        </w:tc>
      </w:tr>
      <w:tr>
        <w:tc>
          <w:p>
            <w:pPr>
              <w:pStyle w:val="Compact"/>
              <w:jc w:val="right"/>
            </w:pPr>
            <w:r>
              <w:t xml:space="preserve">6</w:t>
            </w:r>
          </w:p>
        </w:tc>
        <w:tc>
          <w:p>
            <w:pPr>
              <w:pStyle w:val="Compact"/>
              <w:jc w:val="right"/>
            </w:pPr>
            <w:r>
              <w:t xml:space="preserve">2</w:t>
            </w:r>
          </w:p>
        </w:tc>
        <w:tc>
          <w:p>
            <w:pPr>
              <w:pStyle w:val="Compact"/>
              <w:jc w:val="right"/>
            </w:pPr>
            <w:r>
              <w:t xml:space="preserve">1</w:t>
            </w:r>
          </w:p>
        </w:tc>
        <w:tc>
          <w:p>
            <w:pPr>
              <w:pStyle w:val="Compact"/>
              <w:jc w:val="right"/>
            </w:pPr>
            <w:r>
              <w:t xml:space="preserve">2</w:t>
            </w:r>
          </w:p>
        </w:tc>
      </w:tr>
      <w:tr>
        <w:tc>
          <w:p>
            <w:pPr>
              <w:pStyle w:val="Compact"/>
              <w:jc w:val="right"/>
            </w:pPr>
            <w:r>
              <w:t xml:space="preserve">7</w:t>
            </w:r>
          </w:p>
        </w:tc>
        <w:tc>
          <w:p>
            <w:pPr>
              <w:pStyle w:val="Compact"/>
              <w:jc w:val="right"/>
            </w:pPr>
            <w:r>
              <w:t xml:space="preserve">2</w:t>
            </w:r>
          </w:p>
        </w:tc>
        <w:tc>
          <w:p>
            <w:pPr>
              <w:pStyle w:val="Compact"/>
              <w:jc w:val="right"/>
            </w:pPr>
            <w:r>
              <w:t xml:space="preserve">2</w:t>
            </w:r>
          </w:p>
        </w:tc>
        <w:tc>
          <w:p>
            <w:pPr>
              <w:pStyle w:val="Compact"/>
              <w:jc w:val="right"/>
            </w:pPr>
            <w:r>
              <w:t xml:space="preserve">1</w:t>
            </w:r>
          </w:p>
        </w:tc>
      </w:tr>
      <w:tr>
        <w:tc>
          <w:p>
            <w:pPr>
              <w:pStyle w:val="Compact"/>
              <w:jc w:val="right"/>
            </w:pPr>
            <w:r>
              <w:t xml:space="preserve">8</w:t>
            </w:r>
          </w:p>
        </w:tc>
        <w:tc>
          <w:p>
            <w:pPr>
              <w:pStyle w:val="Compact"/>
              <w:jc w:val="right"/>
            </w:pPr>
            <w:r>
              <w:t xml:space="preserve">2</w:t>
            </w:r>
          </w:p>
        </w:tc>
        <w:tc>
          <w:p>
            <w:pPr>
              <w:pStyle w:val="Compact"/>
              <w:jc w:val="right"/>
            </w:pPr>
            <w:r>
              <w:t xml:space="preserve">2</w:t>
            </w:r>
          </w:p>
        </w:tc>
        <w:tc>
          <w:p>
            <w:pPr>
              <w:pStyle w:val="Compact"/>
              <w:jc w:val="right"/>
            </w:pPr>
            <w:r>
              <w:t xml:space="preserve">2</w:t>
            </w:r>
          </w:p>
        </w:tc>
      </w:tr>
    </w:tbl>
    <w:p>
      <w:pPr>
        <w:pStyle w:val="BodyText"/>
      </w:pPr>
      <w:r>
        <w:t xml:space="preserve">Colapsamos algunos estratos del diseño para conseguir un mínimo de 60 casillas por estrato, usando las variables de la tabla anterior de derecha a izquierda y sin colapsar distritos federales. El corte de las variables en subgrupos se hace de forma que cada subgrupo tenga el número más similar de casillas posible.</w:t>
      </w:r>
    </w:p>
    <w:p>
      <w:pPr>
        <w:pStyle w:val="Heading3"/>
      </w:pPr>
      <w:bookmarkStart w:id="22" w:name="tamaños-de-muestra-evaluados"/>
      <w:r>
        <w:t xml:space="preserve">Tamaños de muestra evaluados</w:t>
      </w:r>
      <w:bookmarkEnd w:id="22"/>
    </w:p>
    <w:p>
      <w:pPr>
        <w:pStyle w:val="FirstParagraph"/>
      </w:pPr>
      <w:r>
        <w:t xml:space="preserve">Mediante el muestreo probabilístico es posible definir estrategias de selección, tamaños de muestra y estimadores, para asegurar que la diferencia entre el estimador</w:t>
      </w:r>
      <w:r>
        <w:t xml:space="preserve"> </w:t>
      </w:r>
      <m:oMath>
        <m:acc>
          <m:accPr>
            <m:chr m:val="̂"/>
          </m:accPr>
          <m:e>
            <m:r>
              <m:t>p</m:t>
            </m:r>
          </m:e>
        </m:acc>
      </m:oMath>
      <w:r>
        <w:t xml:space="preserve"> </w:t>
      </w:r>
      <w:r>
        <w:t xml:space="preserve">y la verdadera proporción</w:t>
      </w:r>
      <w:r>
        <w:t xml:space="preserve"> </w:t>
      </w:r>
      <m:oMath>
        <m:r>
          <m:t>p</m:t>
        </m:r>
      </m:oMath>
      <w:r>
        <w:t xml:space="preserve"> </w:t>
      </w:r>
      <w:r>
        <w:t xml:space="preserve">no difiera en valor absoluto en más de una cierta cantidad</w:t>
      </w:r>
      <w:r>
        <w:t xml:space="preserve"> </w:t>
      </w:r>
      <m:oMath>
        <m:r>
          <m:t>d</m:t>
        </m:r>
      </m:oMath>
      <w:r>
        <w:t xml:space="preserve"> </w:t>
      </w:r>
      <w:r>
        <w:t xml:space="preserve">con un 95% de confianza. A la cantidad</w:t>
      </w:r>
      <w:r>
        <w:t xml:space="preserve"> </w:t>
      </w:r>
      <m:oMath>
        <m:r>
          <m:t>d</m:t>
        </m:r>
      </m:oMath>
      <w:r>
        <w:t xml:space="preserve"> </w:t>
      </w:r>
      <w:r>
        <w:t xml:space="preserve">se le conoce como precisión. Las precisiones indican entonces el tamaño de los intervalos de confianza que presentaremos.</w:t>
      </w:r>
    </w:p>
    <w:p>
      <w:pPr>
        <w:pStyle w:val="BodyText"/>
      </w:pPr>
      <w:r>
        <w:t xml:space="preserve">El tamaño de muestra a elegir está directamente relacionado con el nivel de confianza que queremos obtener, las precisiones deseadas y el tamaño de la población total. Buscamos el tamaño mínimo de muestra que nos permita obtener intervalos del 95% de confianza con buenas precisiones. En cuanto a las poblaciones totales, el estado de Chihuahua, en las elecciones del 2018, tenía 5286 casillas, Colima tenía 950, Nayarit 1668 y Zacatecas 2508. Considerando ésto, para el estado de Chihuahua evaluaremos muestras del 4%, 6%, 8% y 10%, mientras que para los estados de Colima, Nayarit y Zacatecas, que tienen un número menor de casillas, evaluaremos muestras del 10%, 15%, 20%, 25% y 30%. Como las fracciones de muestreo consideradas para Chihuahua son distintas presentaremos su análisis por separado.</w:t>
      </w:r>
    </w:p>
    <w:p>
      <w:pPr>
        <w:pStyle w:val="Heading3"/>
      </w:pPr>
      <w:bookmarkStart w:id="23" w:name="método-de-estimación"/>
      <w:r>
        <w:t xml:space="preserve">Método de estimación</w:t>
      </w:r>
      <w:bookmarkEnd w:id="23"/>
    </w:p>
    <w:p>
      <w:pPr>
        <w:pStyle w:val="FirstParagraph"/>
      </w:pPr>
      <w:r>
        <w:t xml:space="preserve">Sea</w:t>
      </w:r>
      <w:r>
        <w:t xml:space="preserve"> </w:t>
      </w:r>
      <m:oMath>
        <m:sSub>
          <m:e>
            <m:r>
              <m:t>p</m:t>
            </m:r>
          </m:e>
          <m:sub>
            <m:r>
              <m:t>j</m:t>
            </m:r>
          </m:sub>
        </m:sSub>
      </m:oMath>
      <w:r>
        <w:t xml:space="preserve"> </w:t>
      </w:r>
      <w:r>
        <w:t xml:space="preserve">la proporción de votos a favor del candidato</w:t>
      </w:r>
      <w:r>
        <w:t xml:space="preserve"> </w:t>
      </w:r>
      <m:oMath>
        <m:r>
          <m:t>j</m:t>
        </m:r>
      </m:oMath>
      <w:r>
        <w:t xml:space="preserve">, para estimar</w:t>
      </w:r>
      <w:r>
        <w:t xml:space="preserve"> </w:t>
      </w:r>
      <m:oMath>
        <m:sSub>
          <m:e>
            <m:r>
              <m:t>p</m:t>
            </m:r>
          </m:e>
          <m:sub>
            <m:r>
              <m:t>j</m:t>
            </m:r>
          </m:sub>
        </m:sSub>
      </m:oMath>
      <w:r>
        <w:t xml:space="preserve"> </w:t>
      </w:r>
      <w:r>
        <w:t xml:space="preserve">utilizaremos el estimador de razón combinado</w:t>
      </w:r>
      <w:r>
        <w:t xml:space="preserve"> </w:t>
      </w:r>
      <m:oMath>
        <m:sSub>
          <m:e>
            <m:acc>
              <m:accPr>
                <m:chr m:val="̂"/>
              </m:accPr>
              <m:e>
                <m:r>
                  <m:t>p</m:t>
                </m:r>
              </m:e>
            </m:acc>
          </m:e>
          <m:sub>
            <m:r>
              <m:t>j</m:t>
            </m:r>
          </m:sub>
        </m:sSub>
      </m:oMath>
      <w:r>
        <w:t xml:space="preserve">, definido como:</w:t>
      </w:r>
    </w:p>
    <w:p>
      <w:pPr>
        <w:pStyle w:val="BodyText"/>
      </w:pPr>
      <m:oMathPara>
        <m:oMathParaPr>
          <m:jc m:val="center"/>
        </m:oMathParaPr>
        <m:oMath>
          <m:sSub>
            <m:e>
              <m:acc>
                <m:accPr>
                  <m:chr m:val="̂"/>
                </m:accPr>
                <m:e>
                  <m:r>
                    <m:t>p</m:t>
                  </m:r>
                </m:e>
              </m:acc>
            </m:e>
            <m:sub>
              <m:r>
                <m:t>j</m:t>
              </m:r>
            </m:sub>
          </m:sSub>
          <m:r>
            <m:t>=</m:t>
          </m:r>
          <m:f>
            <m:fPr>
              <m:type m:val="bar"/>
            </m:fPr>
            <m:num>
              <m:nary>
                <m:naryPr>
                  <m:chr m:val="∑"/>
                  <m:limLoc m:val="undOvr"/>
                  <m:subHide m:val="0"/>
                  <m:supHide m:val="0"/>
                </m:naryPr>
                <m:sub>
                  <m:r>
                    <m:t>h</m:t>
                  </m:r>
                  <m:r>
                    <m:t>=</m:t>
                  </m:r>
                  <m:r>
                    <m:t>1</m:t>
                  </m:r>
                </m:sub>
                <m:sup>
                  <m:r>
                    <m:t>L</m:t>
                  </m:r>
                </m:sup>
                <m:e>
                  <m:sSub>
                    <m:e>
                      <m:r>
                        <m:t>N</m:t>
                      </m:r>
                    </m:e>
                    <m:sub>
                      <m:r>
                        <m:t>h</m:t>
                      </m:r>
                    </m:sub>
                  </m:sSub>
                </m:e>
              </m:nary>
              <m:d>
                <m:dPr>
                  <m:begChr m:val="("/>
                  <m:endChr m:val=")"/>
                  <m:grow/>
                </m:dPr>
                <m:e>
                  <m:f>
                    <m:fPr>
                      <m:type m:val="bar"/>
                    </m:fPr>
                    <m:num>
                      <m:r>
                        <m:t>1</m:t>
                      </m:r>
                    </m:num>
                    <m:den>
                      <m:sSub>
                        <m:e>
                          <m:r>
                            <m:t>n</m:t>
                          </m:r>
                        </m:e>
                        <m:sub>
                          <m:r>
                            <m:t>h</m:t>
                          </m:r>
                        </m:sub>
                      </m:sSub>
                    </m:den>
                  </m:f>
                  <m:nary>
                    <m:naryPr>
                      <m:chr m:val="∑"/>
                      <m:limLoc m:val="undOvr"/>
                      <m:subHide m:val="0"/>
                      <m:supHide m:val="0"/>
                    </m:naryPr>
                    <m:sub>
                      <m:r>
                        <m:t>i</m:t>
                      </m:r>
                      <m:r>
                        <m:t>=</m:t>
                      </m:r>
                      <m:r>
                        <m:t>1</m:t>
                      </m:r>
                    </m:sub>
                    <m:sup>
                      <m:sSub>
                        <m:e>
                          <m:r>
                            <m:t>n</m:t>
                          </m:r>
                        </m:e>
                        <m:sub>
                          <m:r>
                            <m:t>h</m:t>
                          </m:r>
                        </m:sub>
                      </m:sSub>
                    </m:sup>
                    <m:e>
                      <m:sSub>
                        <m:e>
                          <m:r>
                            <m:t>x</m:t>
                          </m:r>
                        </m:e>
                        <m:sub>
                          <m:r>
                            <m:t>h</m:t>
                          </m:r>
                          <m:r>
                            <m:t>i</m:t>
                          </m:r>
                          <m:r>
                            <m:t>j</m:t>
                          </m:r>
                        </m:sub>
                      </m:sSub>
                    </m:e>
                  </m:nary>
                </m:e>
              </m:d>
            </m:num>
            <m:den>
              <m:nary>
                <m:naryPr>
                  <m:chr m:val="∑"/>
                  <m:limLoc m:val="undOvr"/>
                  <m:subHide m:val="0"/>
                  <m:supHide m:val="0"/>
                </m:naryPr>
                <m:sub>
                  <m:r>
                    <m:t>j</m:t>
                  </m:r>
                  <m:r>
                    <m:t>=</m:t>
                  </m:r>
                  <m:r>
                    <m:t>1</m:t>
                  </m:r>
                </m:sub>
                <m:sup>
                  <m:r>
                    <m:t>J</m:t>
                  </m:r>
                </m:sup>
                <m:e>
                  <m:nary>
                    <m:naryPr>
                      <m:chr m:val="∑"/>
                      <m:limLoc m:val="undOvr"/>
                      <m:subHide m:val="0"/>
                      <m:supHide m:val="0"/>
                    </m:naryPr>
                    <m:sub>
                      <m:r>
                        <m:t>h</m:t>
                      </m:r>
                      <m:r>
                        <m:t>=</m:t>
                      </m:r>
                      <m:r>
                        <m:t>1</m:t>
                      </m:r>
                    </m:sub>
                    <m:sup>
                      <m:r>
                        <m:t>L</m:t>
                      </m:r>
                    </m:sup>
                    <m:e>
                      <m:sSub>
                        <m:e>
                          <m:r>
                            <m:t>N</m:t>
                          </m:r>
                        </m:e>
                        <m:sub>
                          <m:r>
                            <m:t>h</m:t>
                          </m:r>
                        </m:sub>
                      </m:sSub>
                    </m:e>
                  </m:nary>
                </m:e>
              </m:nary>
              <m:d>
                <m:dPr>
                  <m:begChr m:val="("/>
                  <m:endChr m:val=")"/>
                  <m:grow/>
                </m:dPr>
                <m:e>
                  <m:f>
                    <m:fPr>
                      <m:type m:val="bar"/>
                    </m:fPr>
                    <m:num>
                      <m:r>
                        <m:t>1</m:t>
                      </m:r>
                    </m:num>
                    <m:den>
                      <m:sSub>
                        <m:e>
                          <m:r>
                            <m:t>n</m:t>
                          </m:r>
                        </m:e>
                        <m:sub>
                          <m:r>
                            <m:t>h</m:t>
                          </m:r>
                        </m:sub>
                      </m:sSub>
                    </m:den>
                  </m:f>
                  <m:nary>
                    <m:naryPr>
                      <m:chr m:val="∑"/>
                      <m:limLoc m:val="undOvr"/>
                      <m:subHide m:val="0"/>
                      <m:supHide m:val="0"/>
                    </m:naryPr>
                    <m:sub>
                      <m:r>
                        <m:t>i</m:t>
                      </m:r>
                      <m:r>
                        <m:t>=</m:t>
                      </m:r>
                      <m:r>
                        <m:t>1</m:t>
                      </m:r>
                    </m:sub>
                    <m:sup>
                      <m:sSub>
                        <m:e>
                          <m:r>
                            <m:t>n</m:t>
                          </m:r>
                        </m:e>
                        <m:sub>
                          <m:r>
                            <m:t>h</m:t>
                          </m:r>
                        </m:sub>
                      </m:sSub>
                    </m:sup>
                    <m:e>
                      <m:sSub>
                        <m:e>
                          <m:r>
                            <m:t>x</m:t>
                          </m:r>
                        </m:e>
                        <m:sub>
                          <m:r>
                            <m:t>h</m:t>
                          </m:r>
                          <m:r>
                            <m:t>i</m:t>
                          </m:r>
                          <m:r>
                            <m:t>j</m:t>
                          </m:r>
                        </m:sub>
                      </m:sSub>
                    </m:e>
                  </m:nary>
                </m:e>
              </m:d>
            </m:den>
          </m:f>
          <m:r>
            <m:t>,</m:t>
          </m:r>
        </m:oMath>
      </m:oMathPara>
    </w:p>
    <w:p>
      <w:pPr>
        <w:pStyle w:val="FirstParagraph"/>
      </w:pPr>
      <w:r>
        <w:t xml:space="preserve">donde, para cada estrato</w:t>
      </w:r>
      <w:r>
        <w:t xml:space="preserve"> </w:t>
      </w:r>
      <m:oMath>
        <m:r>
          <m:t>h</m:t>
        </m:r>
      </m:oMath>
      <w:r>
        <w:t xml:space="preserve"> </w:t>
      </w:r>
      <w:r>
        <w:t xml:space="preserve">,</w:t>
      </w:r>
      <w:r>
        <w:t xml:space="preserve"> </w:t>
      </w:r>
      <m:oMath>
        <m:sSub>
          <m:e>
            <m:r>
              <m:t>n</m:t>
            </m:r>
          </m:e>
          <m:sub>
            <m:r>
              <m:t>h</m:t>
            </m:r>
          </m:sub>
        </m:sSub>
      </m:oMath>
      <w:r>
        <w:t xml:space="preserve"> </w:t>
      </w:r>
      <w:r>
        <w:t xml:space="preserve">es el tamaño de la muestra,</w:t>
      </w:r>
      <w:r>
        <w:t xml:space="preserve"> </w:t>
      </w:r>
      <m:oMath>
        <m:sSub>
          <m:e>
            <m:r>
              <m:t>N</m:t>
            </m:r>
          </m:e>
          <m:sub>
            <m:r>
              <m:t>h</m:t>
            </m:r>
          </m:sub>
        </m:sSub>
      </m:oMath>
      <w:r>
        <w:t xml:space="preserve"> </w:t>
      </w:r>
      <w:r>
        <w:t xml:space="preserve">es el número total de casillas,</w:t>
      </w:r>
      <w:r>
        <w:t xml:space="preserve"> </w:t>
      </w:r>
      <m:oMath>
        <m:r>
          <m:t>L</m:t>
        </m:r>
      </m:oMath>
      <w:r>
        <w:t xml:space="preserve"> </w:t>
      </w:r>
      <w:r>
        <w:t xml:space="preserve">es el número total de estratos,</w:t>
      </w:r>
      <w:r>
        <w:t xml:space="preserve"> </w:t>
      </w:r>
      <m:oMath>
        <m:r>
          <m:t>J</m:t>
        </m:r>
      </m:oMath>
      <w:r>
        <w:t xml:space="preserve"> </w:t>
      </w:r>
      <w:r>
        <w:t xml:space="preserve">es el número total de candidatos (incluyendo nulos y no registrados) y</w:t>
      </w:r>
      <w:r>
        <w:t xml:space="preserve"> </w:t>
      </w:r>
      <m:oMath>
        <m:sSub>
          <m:e>
            <m:r>
              <m:t>x</m:t>
            </m:r>
          </m:e>
          <m:sub>
            <m:r>
              <m:t>h</m:t>
            </m:r>
            <m:r>
              <m:t>i</m:t>
            </m:r>
            <m:r>
              <m:t>j</m:t>
            </m:r>
          </m:sub>
        </m:sSub>
      </m:oMath>
      <w:r>
        <w:t xml:space="preserve"> </w:t>
      </w:r>
      <w:r>
        <w:t xml:space="preserve">es el total de votos a favor del candidato</w:t>
      </w:r>
      <w:r>
        <w:t xml:space="preserve"> </w:t>
      </w:r>
      <m:oMath>
        <m:r>
          <m:t>j</m:t>
        </m:r>
      </m:oMath>
      <w:r>
        <w:t xml:space="preserve"> </w:t>
      </w:r>
      <w:r>
        <w:t xml:space="preserve">en la casilla</w:t>
      </w:r>
      <w:r>
        <w:t xml:space="preserve"> </w:t>
      </w:r>
      <m:oMath>
        <m:r>
          <m:t>i</m:t>
        </m:r>
      </m:oMath>
      <w:r>
        <w:t xml:space="preserve">.</w:t>
      </w:r>
    </w:p>
    <w:p>
      <w:pPr>
        <w:pStyle w:val="BodyText"/>
      </w:pPr>
      <w:r>
        <w:t xml:space="preserve">El error estándar de este estimador se calcula utilizando bootrsap no paramétrico (ver, por ejemplo, [2]).</w:t>
      </w:r>
    </w:p>
    <w:p>
      <w:pPr>
        <w:pStyle w:val="Heading3"/>
      </w:pPr>
      <w:bookmarkStart w:id="24" w:name="criterios-de-decisión"/>
      <w:r>
        <w:t xml:space="preserve">Criterios de decisión</w:t>
      </w:r>
      <w:bookmarkEnd w:id="24"/>
    </w:p>
    <w:p>
      <w:pPr>
        <w:pStyle w:val="FirstParagraph"/>
      </w:pPr>
      <w:r>
        <w:t xml:space="preserve">Entre más fina es una estratificación, mejor es la precisión. Sucede lo mismo con el tamaño de muestra, entre mayor es la muestra mejor es la precisión. Sin embargo, utilizar estratificaciones demasiado finas causa que hayan estratos con pocas casillas, que pueden no ser bien representados a la hora de muestrear. Por otro lado, el considerar muestras demasiado grandes implica un mayor porcentaje de capacitadores-asistentes electorales (CAE) con más de una casilla a reportar, esto complica el trabajo de los CAEs y puede resultar en que no reporten alguna de las casillas. Por esta razón, el diseño muestral evalúa en conjunto estos dos criterios, con el objetivo de encontrar un balance que maximice la precisión sin poner en riesgo la obtención de la muestra.</w:t>
      </w:r>
    </w:p>
    <w:p>
      <w:pPr>
        <w:pStyle w:val="Heading3"/>
      </w:pPr>
      <w:bookmarkStart w:id="25" w:name="resultados-para-colima-nayarit-y-zacatecas"/>
      <w:r>
        <w:t xml:space="preserve">Resultados para Colima, Nayarit y Zacatecas</w:t>
      </w:r>
      <w:bookmarkEnd w:id="25"/>
    </w:p>
    <w:p>
      <w:pPr>
        <w:pStyle w:val="FirstParagraph"/>
      </w:pPr>
      <w:r>
        <w:t xml:space="preserve">A continuación tenemos una gráfica que muestra el cuantil 0.95 de las precisiones sobre los 4 candidatos mayores para cada estado, para distintos tamaños de muestreo y para cada estratifiación evaluada. La línea negra indica que el cuantil 0.95 de las precisiones es igual a 1.5, esto quiere decir que, bajo esa línea, el 95% de las muestras arrojaron intervalos con precisiones menores a 1.5. Un criterio conservador de selección es buscar fracciones de muestreo y estratificaciones que estén por debajo de la línea negra.</w:t>
      </w:r>
    </w:p>
    <w:p>
      <w:pPr>
        <w:pStyle w:val="BodyText"/>
      </w:pPr>
      <w:r>
        <w:drawing>
          <wp:inline>
            <wp:extent cx="5334000" cy="2667000"/>
            <wp:effectExtent b="0" l="0" r="0" t="0"/>
            <wp:docPr descr="" title="" id="1" name="Picture"/>
            <a:graphic>
              <a:graphicData uri="http://schemas.openxmlformats.org/drawingml/2006/picture">
                <pic:pic>
                  <pic:nvPicPr>
                    <pic:cNvPr descr="esquema_de_muestreo_word_files/figure-docx/unnamed-chunk-5-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Notamos que para estos 3 estados la estratificación 6 tiene buena precisión, muy similar a la mejor precisión obtenida con la estratifiación 8 que es la más fina, por lo tanto se elige la estratifiación 6 para los 3 estados.</w:t>
      </w:r>
    </w:p>
    <w:p>
      <w:pPr>
        <w:pStyle w:val="BodyText"/>
      </w:pPr>
      <w:r>
        <w:t xml:space="preserve">En cuanto a fracciones de muetreo tenemos que para Colima y Nayarit la fracción de 20% nos asegura estar bajo la línea negra, mientras que para Zacatecas basta tomar 15% con la estratificación 6. En la siguiente tabla mostramos el promedio de porcentaje de CAEs con 1, 2 y 3 casillas para la estratificación 6 y algunas fracciones de muestreo que parece razonable analizar:</w:t>
      </w:r>
    </w:p>
    <w:tbl>
      <w:tblPr>
        <w:tblStyle w:val="Table"/>
        <w:tblW w:type="pct" w:w="2777.7777777777774"/>
        <w:tblLook w:firstRow="1"/>
      </w:tblPr>
      <w:tblGrid>
        <w:gridCol w:w="990"/>
        <w:gridCol w:w="1760"/>
        <w:gridCol w:w="550"/>
        <w:gridCol w:w="550"/>
        <w:gridCol w:w="550"/>
      </w:tblGrid>
      <w:tr>
        <w:trPr>
          <w:cnfStyle w:firstRow="1"/>
        </w:trPr>
        <w:tc>
          <w:tcPr>
            <w:tcBorders>
              <w:bottom w:val="single"/>
            </w:tcBorders>
            <w:vAlign w:val="bottom"/>
          </w:tcPr>
          <w:p>
            <w:pPr>
              <w:pStyle w:val="Compact"/>
              <w:jc w:val="left"/>
            </w:pPr>
            <w:r>
              <w:t xml:space="preserve">Estado</w:t>
            </w:r>
          </w:p>
        </w:tc>
        <w:tc>
          <w:tcPr>
            <w:tcBorders>
              <w:bottom w:val="single"/>
            </w:tcBorders>
            <w:vAlign w:val="bottom"/>
          </w:tcPr>
          <w:p>
            <w:pPr>
              <w:pStyle w:val="Compact"/>
              <w:jc w:val="left"/>
            </w:pPr>
            <w:r>
              <w:t xml:space="preserve">frac_muestreo</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r>
      <w:tr>
        <w:tc>
          <w:p>
            <w:pPr>
              <w:pStyle w:val="Compact"/>
              <w:jc w:val="left"/>
            </w:pPr>
            <w:r>
              <w:t xml:space="preserve">COL</w:t>
            </w:r>
          </w:p>
        </w:tc>
        <w:tc>
          <w:p>
            <w:pPr>
              <w:pStyle w:val="Compact"/>
              <w:jc w:val="left"/>
            </w:pPr>
            <w:r>
              <w:t xml:space="preserve">0.15</w:t>
            </w:r>
          </w:p>
        </w:tc>
        <w:tc>
          <w:p>
            <w:pPr>
              <w:pStyle w:val="Compact"/>
              <w:jc w:val="right"/>
            </w:pPr>
            <w:r>
              <w:t xml:space="preserve">76</w:t>
            </w:r>
          </w:p>
        </w:tc>
        <w:tc>
          <w:p>
            <w:pPr>
              <w:pStyle w:val="Compact"/>
              <w:jc w:val="right"/>
            </w:pPr>
            <w:r>
              <w:t xml:space="preserve">21</w:t>
            </w:r>
          </w:p>
        </w:tc>
        <w:tc>
          <w:p>
            <w:pPr>
              <w:pStyle w:val="Compact"/>
              <w:jc w:val="right"/>
            </w:pPr>
            <w:r>
              <w:t xml:space="preserve">3</w:t>
            </w:r>
          </w:p>
        </w:tc>
      </w:tr>
      <w:tr>
        <w:tc>
          <w:p>
            <w:pPr>
              <w:pStyle w:val="Compact"/>
              <w:jc w:val="left"/>
            </w:pPr>
            <w:r>
              <w:t xml:space="preserve">COL</w:t>
            </w:r>
          </w:p>
        </w:tc>
        <w:tc>
          <w:p>
            <w:pPr>
              <w:pStyle w:val="Compact"/>
              <w:jc w:val="left"/>
            </w:pPr>
            <w:r>
              <w:t xml:space="preserve">0.2</w:t>
            </w:r>
          </w:p>
        </w:tc>
        <w:tc>
          <w:p>
            <w:pPr>
              <w:pStyle w:val="Compact"/>
              <w:jc w:val="right"/>
            </w:pPr>
            <w:r>
              <w:t xml:space="preserve">68</w:t>
            </w:r>
          </w:p>
        </w:tc>
        <w:tc>
          <w:p>
            <w:pPr>
              <w:pStyle w:val="Compact"/>
              <w:jc w:val="right"/>
            </w:pPr>
            <w:r>
              <w:t xml:space="preserve">26</w:t>
            </w:r>
          </w:p>
        </w:tc>
        <w:tc>
          <w:p>
            <w:pPr>
              <w:pStyle w:val="Compact"/>
              <w:jc w:val="right"/>
            </w:pPr>
            <w:r>
              <w:t xml:space="preserve">5</w:t>
            </w:r>
          </w:p>
        </w:tc>
      </w:tr>
      <w:tr>
        <w:tc>
          <w:p>
            <w:pPr>
              <w:pStyle w:val="Compact"/>
              <w:jc w:val="left"/>
            </w:pPr>
            <w:r>
              <w:t xml:space="preserve">COL</w:t>
            </w:r>
          </w:p>
        </w:tc>
        <w:tc>
          <w:p>
            <w:pPr>
              <w:pStyle w:val="Compact"/>
              <w:jc w:val="left"/>
            </w:pPr>
            <w:r>
              <w:t xml:space="preserve">0.25</w:t>
            </w:r>
          </w:p>
        </w:tc>
        <w:tc>
          <w:p>
            <w:pPr>
              <w:pStyle w:val="Compact"/>
              <w:jc w:val="right"/>
            </w:pPr>
            <w:r>
              <w:t xml:space="preserve">61</w:t>
            </w:r>
          </w:p>
        </w:tc>
        <w:tc>
          <w:p>
            <w:pPr>
              <w:pStyle w:val="Compact"/>
              <w:jc w:val="right"/>
            </w:pPr>
            <w:r>
              <w:t xml:space="preserve">31</w:t>
            </w:r>
          </w:p>
        </w:tc>
        <w:tc>
          <w:p>
            <w:pPr>
              <w:pStyle w:val="Compact"/>
              <w:jc w:val="right"/>
            </w:pPr>
            <w:r>
              <w:t xml:space="preserve">7</w:t>
            </w:r>
          </w:p>
        </w:tc>
      </w:tr>
      <w:tr>
        <w:tc>
          <w:p>
            <w:pPr>
              <w:pStyle w:val="Compact"/>
              <w:jc w:val="left"/>
            </w:pPr>
            <w:r>
              <w:t xml:space="preserve">NAY</w:t>
            </w:r>
          </w:p>
        </w:tc>
        <w:tc>
          <w:p>
            <w:pPr>
              <w:pStyle w:val="Compact"/>
              <w:jc w:val="left"/>
            </w:pPr>
            <w:r>
              <w:t xml:space="preserve">0.15</w:t>
            </w:r>
          </w:p>
        </w:tc>
        <w:tc>
          <w:p>
            <w:pPr>
              <w:pStyle w:val="Compact"/>
              <w:jc w:val="right"/>
            </w:pPr>
            <w:r>
              <w:t xml:space="preserve">73</w:t>
            </w:r>
          </w:p>
        </w:tc>
        <w:tc>
          <w:p>
            <w:pPr>
              <w:pStyle w:val="Compact"/>
              <w:jc w:val="right"/>
            </w:pPr>
            <w:r>
              <w:t xml:space="preserve">23</w:t>
            </w:r>
          </w:p>
        </w:tc>
        <w:tc>
          <w:p>
            <w:pPr>
              <w:pStyle w:val="Compact"/>
              <w:jc w:val="right"/>
            </w:pPr>
            <w:r>
              <w:t xml:space="preserve">4</w:t>
            </w:r>
          </w:p>
        </w:tc>
      </w:tr>
      <w:tr>
        <w:tc>
          <w:p>
            <w:pPr>
              <w:pStyle w:val="Compact"/>
              <w:jc w:val="left"/>
            </w:pPr>
            <w:r>
              <w:t xml:space="preserve">NAY</w:t>
            </w:r>
          </w:p>
        </w:tc>
        <w:tc>
          <w:p>
            <w:pPr>
              <w:pStyle w:val="Compact"/>
              <w:jc w:val="left"/>
            </w:pPr>
            <w:r>
              <w:t xml:space="preserve">0.2</w:t>
            </w:r>
          </w:p>
        </w:tc>
        <w:tc>
          <w:p>
            <w:pPr>
              <w:pStyle w:val="Compact"/>
              <w:jc w:val="right"/>
            </w:pPr>
            <w:r>
              <w:t xml:space="preserve">64</w:t>
            </w:r>
          </w:p>
        </w:tc>
        <w:tc>
          <w:p>
            <w:pPr>
              <w:pStyle w:val="Compact"/>
              <w:jc w:val="right"/>
            </w:pPr>
            <w:r>
              <w:t xml:space="preserve">29</w:t>
            </w:r>
          </w:p>
        </w:tc>
        <w:tc>
          <w:p>
            <w:pPr>
              <w:pStyle w:val="Compact"/>
              <w:jc w:val="right"/>
            </w:pPr>
            <w:r>
              <w:t xml:space="preserve">6</w:t>
            </w:r>
          </w:p>
        </w:tc>
      </w:tr>
      <w:tr>
        <w:tc>
          <w:p>
            <w:pPr>
              <w:pStyle w:val="Compact"/>
              <w:jc w:val="left"/>
            </w:pPr>
            <w:r>
              <w:t xml:space="preserve">NAY</w:t>
            </w:r>
          </w:p>
        </w:tc>
        <w:tc>
          <w:p>
            <w:pPr>
              <w:pStyle w:val="Compact"/>
              <w:jc w:val="left"/>
            </w:pPr>
            <w:r>
              <w:t xml:space="preserve">0.25</w:t>
            </w:r>
          </w:p>
        </w:tc>
        <w:tc>
          <w:p>
            <w:pPr>
              <w:pStyle w:val="Compact"/>
              <w:jc w:val="right"/>
            </w:pPr>
            <w:r>
              <w:t xml:space="preserve">56</w:t>
            </w:r>
          </w:p>
        </w:tc>
        <w:tc>
          <w:p>
            <w:pPr>
              <w:pStyle w:val="Compact"/>
              <w:jc w:val="right"/>
            </w:pPr>
            <w:r>
              <w:t xml:space="preserve">32</w:t>
            </w:r>
          </w:p>
        </w:tc>
        <w:tc>
          <w:p>
            <w:pPr>
              <w:pStyle w:val="Compact"/>
              <w:jc w:val="right"/>
            </w:pPr>
            <w:r>
              <w:t xml:space="preserve">10</w:t>
            </w:r>
          </w:p>
        </w:tc>
      </w:tr>
      <w:tr>
        <w:tc>
          <w:p>
            <w:pPr>
              <w:pStyle w:val="Compact"/>
              <w:jc w:val="left"/>
            </w:pPr>
            <w:r>
              <w:t xml:space="preserve">ZAC</w:t>
            </w:r>
          </w:p>
        </w:tc>
        <w:tc>
          <w:p>
            <w:pPr>
              <w:pStyle w:val="Compact"/>
              <w:jc w:val="left"/>
            </w:pPr>
            <w:r>
              <w:t xml:space="preserve">0.15</w:t>
            </w:r>
          </w:p>
        </w:tc>
        <w:tc>
          <w:p>
            <w:pPr>
              <w:pStyle w:val="Compact"/>
              <w:jc w:val="right"/>
            </w:pPr>
            <w:r>
              <w:t xml:space="preserve">78</w:t>
            </w:r>
          </w:p>
        </w:tc>
        <w:tc>
          <w:p>
            <w:pPr>
              <w:pStyle w:val="Compact"/>
              <w:jc w:val="right"/>
            </w:pPr>
            <w:r>
              <w:t xml:space="preserve">20</w:t>
            </w:r>
          </w:p>
        </w:tc>
        <w:tc>
          <w:p>
            <w:pPr>
              <w:pStyle w:val="Compact"/>
              <w:jc w:val="right"/>
            </w:pPr>
            <w:r>
              <w:t xml:space="preserve">2</w:t>
            </w:r>
          </w:p>
        </w:tc>
      </w:tr>
      <w:tr>
        <w:tc>
          <w:p>
            <w:pPr>
              <w:pStyle w:val="Compact"/>
              <w:jc w:val="left"/>
            </w:pPr>
            <w:r>
              <w:t xml:space="preserve">ZAC</w:t>
            </w:r>
          </w:p>
        </w:tc>
        <w:tc>
          <w:p>
            <w:pPr>
              <w:pStyle w:val="Compact"/>
              <w:jc w:val="left"/>
            </w:pPr>
            <w:r>
              <w:t xml:space="preserve">0.2</w:t>
            </w:r>
          </w:p>
        </w:tc>
        <w:tc>
          <w:p>
            <w:pPr>
              <w:pStyle w:val="Compact"/>
              <w:jc w:val="right"/>
            </w:pPr>
            <w:r>
              <w:t xml:space="preserve">71</w:t>
            </w:r>
          </w:p>
        </w:tc>
        <w:tc>
          <w:p>
            <w:pPr>
              <w:pStyle w:val="Compact"/>
              <w:jc w:val="right"/>
            </w:pPr>
            <w:r>
              <w:t xml:space="preserve">25</w:t>
            </w:r>
          </w:p>
        </w:tc>
        <w:tc>
          <w:p>
            <w:pPr>
              <w:pStyle w:val="Compact"/>
              <w:jc w:val="right"/>
            </w:pPr>
            <w:r>
              <w:t xml:space="preserve">4</w:t>
            </w:r>
          </w:p>
        </w:tc>
      </w:tr>
      <w:tr>
        <w:tc>
          <w:p>
            <w:pPr>
              <w:pStyle w:val="Compact"/>
              <w:jc w:val="left"/>
            </w:pPr>
            <w:r>
              <w:t xml:space="preserve">ZAC</w:t>
            </w:r>
          </w:p>
        </w:tc>
        <w:tc>
          <w:p>
            <w:pPr>
              <w:pStyle w:val="Compact"/>
              <w:jc w:val="left"/>
            </w:pPr>
            <w:r>
              <w:t xml:space="preserve">0.25</w:t>
            </w:r>
          </w:p>
        </w:tc>
        <w:tc>
          <w:p>
            <w:pPr>
              <w:pStyle w:val="Compact"/>
              <w:jc w:val="right"/>
            </w:pPr>
            <w:r>
              <w:t xml:space="preserve">63</w:t>
            </w:r>
          </w:p>
        </w:tc>
        <w:tc>
          <w:p>
            <w:pPr>
              <w:pStyle w:val="Compact"/>
              <w:jc w:val="right"/>
            </w:pPr>
            <w:r>
              <w:t xml:space="preserve">30</w:t>
            </w:r>
          </w:p>
        </w:tc>
        <w:tc>
          <w:p>
            <w:pPr>
              <w:pStyle w:val="Compact"/>
              <w:jc w:val="right"/>
            </w:pPr>
            <w:r>
              <w:t xml:space="preserve">6</w:t>
            </w:r>
          </w:p>
        </w:tc>
      </w:tr>
    </w:tbl>
    <w:p>
      <w:pPr>
        <w:pStyle w:val="BodyText"/>
      </w:pPr>
      <w:r>
        <w:t xml:space="preserve">El número de CAEs con 1, 2 y 3 casillas parece razonable para fracciones de muestreo de 20% para Colima y Nayarit y 15% para Zacatecas, por lo que confirmamos ésta elección.</w:t>
      </w:r>
    </w:p>
    <w:p>
      <w:pPr>
        <w:pStyle w:val="Heading2"/>
      </w:pPr>
      <w:bookmarkStart w:id="27" w:name="resultados-para-chihuahua"/>
      <w:r>
        <w:t xml:space="preserve">Resultados para Chihuahua</w:t>
      </w:r>
      <w:bookmarkEnd w:id="27"/>
    </w:p>
    <w:p>
      <w:pPr>
        <w:pStyle w:val="FirstParagraph"/>
      </w:pPr>
      <w:r>
        <w:t xml:space="preserve">En Chihuahua observamos un patrón similar en cuánto a precisión:</w:t>
      </w:r>
    </w:p>
    <w:p>
      <w:pPr>
        <w:pStyle w:val="BodyText"/>
      </w:pPr>
      <w:r>
        <w:drawing>
          <wp:inline>
            <wp:extent cx="5334000" cy="2667000"/>
            <wp:effectExtent b="0" l="0" r="0" t="0"/>
            <wp:docPr descr="" title="" id="1" name="Picture"/>
            <a:graphic>
              <a:graphicData uri="http://schemas.openxmlformats.org/drawingml/2006/picture">
                <pic:pic>
                  <pic:nvPicPr>
                    <pic:cNvPr descr="esquema_de_muestreo_word_files/figure-docx/unnamed-chunk-8-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En éste caso, como las fracciones de muestreo consideradas son mucho menores, el porcentaje de casos con 1, 2 y 3 casillas es razonable para cualquiera de éstas fracciones.</w:t>
      </w:r>
    </w:p>
    <w:tbl>
      <w:tblPr>
        <w:tblStyle w:val="Table"/>
        <w:tblW w:type="pct" w:w="2777.7777777777774"/>
        <w:tblLook w:firstRow="1"/>
      </w:tblPr>
      <w:tblGrid>
        <w:gridCol w:w="990"/>
        <w:gridCol w:w="1760"/>
        <w:gridCol w:w="550"/>
        <w:gridCol w:w="550"/>
        <w:gridCol w:w="550"/>
      </w:tblGrid>
      <w:tr>
        <w:trPr>
          <w:cnfStyle w:firstRow="1"/>
        </w:trPr>
        <w:tc>
          <w:tcPr>
            <w:tcBorders>
              <w:bottom w:val="single"/>
            </w:tcBorders>
            <w:vAlign w:val="bottom"/>
          </w:tcPr>
          <w:p>
            <w:pPr>
              <w:pStyle w:val="Compact"/>
              <w:jc w:val="left"/>
            </w:pPr>
            <w:r>
              <w:t xml:space="preserve">Estado</w:t>
            </w:r>
          </w:p>
        </w:tc>
        <w:tc>
          <w:tcPr>
            <w:tcBorders>
              <w:bottom w:val="single"/>
            </w:tcBorders>
            <w:vAlign w:val="bottom"/>
          </w:tcPr>
          <w:p>
            <w:pPr>
              <w:pStyle w:val="Compact"/>
              <w:jc w:val="left"/>
            </w:pPr>
            <w:r>
              <w:t xml:space="preserve">frac_muestreo</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r>
      <w:tr>
        <w:tc>
          <w:p>
            <w:pPr>
              <w:pStyle w:val="Compact"/>
              <w:jc w:val="left"/>
            </w:pPr>
            <w:r>
              <w:t xml:space="preserve">CHIH</w:t>
            </w:r>
          </w:p>
        </w:tc>
        <w:tc>
          <w:p>
            <w:pPr>
              <w:pStyle w:val="Compact"/>
              <w:jc w:val="left"/>
            </w:pPr>
            <w:r>
              <w:t xml:space="preserve">0.04</w:t>
            </w:r>
          </w:p>
        </w:tc>
        <w:tc>
          <w:p>
            <w:pPr>
              <w:pStyle w:val="Compact"/>
              <w:jc w:val="right"/>
            </w:pPr>
            <w:r>
              <w:t xml:space="preserve">94</w:t>
            </w:r>
          </w:p>
        </w:tc>
        <w:tc>
          <w:p>
            <w:pPr>
              <w:pStyle w:val="Compact"/>
              <w:jc w:val="right"/>
            </w:pPr>
            <w:r>
              <w:t xml:space="preserve">6</w:t>
            </w:r>
          </w:p>
        </w:tc>
        <w:tc>
          <w:p>
            <w:pPr>
              <w:pStyle w:val="Compact"/>
              <w:jc w:val="right"/>
            </w:pPr>
            <w:r>
              <w:t xml:space="preserve">0</w:t>
            </w:r>
          </w:p>
        </w:tc>
      </w:tr>
      <w:tr>
        <w:tc>
          <w:p>
            <w:pPr>
              <w:pStyle w:val="Compact"/>
              <w:jc w:val="left"/>
            </w:pPr>
            <w:r>
              <w:t xml:space="preserve">CHIH</w:t>
            </w:r>
          </w:p>
        </w:tc>
        <w:tc>
          <w:p>
            <w:pPr>
              <w:pStyle w:val="Compact"/>
              <w:jc w:val="left"/>
            </w:pPr>
            <w:r>
              <w:t xml:space="preserve">0.06</w:t>
            </w:r>
          </w:p>
        </w:tc>
        <w:tc>
          <w:p>
            <w:pPr>
              <w:pStyle w:val="Compact"/>
              <w:jc w:val="right"/>
            </w:pPr>
            <w:r>
              <w:t xml:space="preserve">90</w:t>
            </w:r>
          </w:p>
        </w:tc>
        <w:tc>
          <w:p>
            <w:pPr>
              <w:pStyle w:val="Compact"/>
              <w:jc w:val="right"/>
            </w:pPr>
            <w:r>
              <w:t xml:space="preserve">9</w:t>
            </w:r>
          </w:p>
        </w:tc>
        <w:tc>
          <w:p>
            <w:pPr>
              <w:pStyle w:val="Compact"/>
              <w:jc w:val="right"/>
            </w:pPr>
            <w:r>
              <w:t xml:space="preserve">0</w:t>
            </w:r>
          </w:p>
        </w:tc>
      </w:tr>
      <w:tr>
        <w:tc>
          <w:p>
            <w:pPr>
              <w:pStyle w:val="Compact"/>
              <w:jc w:val="left"/>
            </w:pPr>
            <w:r>
              <w:t xml:space="preserve">CHIH</w:t>
            </w:r>
          </w:p>
        </w:tc>
        <w:tc>
          <w:p>
            <w:pPr>
              <w:pStyle w:val="Compact"/>
              <w:jc w:val="left"/>
            </w:pPr>
            <w:r>
              <w:t xml:space="preserve">0.08</w:t>
            </w:r>
          </w:p>
        </w:tc>
        <w:tc>
          <w:p>
            <w:pPr>
              <w:pStyle w:val="Compact"/>
              <w:jc w:val="right"/>
            </w:pPr>
            <w:r>
              <w:t xml:space="preserve">87</w:t>
            </w:r>
          </w:p>
        </w:tc>
        <w:tc>
          <w:p>
            <w:pPr>
              <w:pStyle w:val="Compact"/>
              <w:jc w:val="right"/>
            </w:pPr>
            <w:r>
              <w:t xml:space="preserve">12</w:t>
            </w:r>
          </w:p>
        </w:tc>
        <w:tc>
          <w:p>
            <w:pPr>
              <w:pStyle w:val="Compact"/>
              <w:jc w:val="right"/>
            </w:pPr>
            <w:r>
              <w:t xml:space="preserve">1</w:t>
            </w:r>
          </w:p>
        </w:tc>
      </w:tr>
      <w:tr>
        <w:tc>
          <w:p>
            <w:pPr>
              <w:pStyle w:val="Compact"/>
              <w:jc w:val="left"/>
            </w:pPr>
            <w:r>
              <w:t xml:space="preserve">CHIH</w:t>
            </w:r>
          </w:p>
        </w:tc>
        <w:tc>
          <w:p>
            <w:pPr>
              <w:pStyle w:val="Compact"/>
              <w:jc w:val="left"/>
            </w:pPr>
            <w:r>
              <w:t xml:space="preserve">0.1</w:t>
            </w:r>
          </w:p>
        </w:tc>
        <w:tc>
          <w:p>
            <w:pPr>
              <w:pStyle w:val="Compact"/>
              <w:jc w:val="right"/>
            </w:pPr>
            <w:r>
              <w:t xml:space="preserve">84</w:t>
            </w:r>
          </w:p>
        </w:tc>
        <w:tc>
          <w:p>
            <w:pPr>
              <w:pStyle w:val="Compact"/>
              <w:jc w:val="right"/>
            </w:pPr>
            <w:r>
              <w:t xml:space="preserve">15</w:t>
            </w:r>
          </w:p>
        </w:tc>
        <w:tc>
          <w:p>
            <w:pPr>
              <w:pStyle w:val="Compact"/>
              <w:jc w:val="right"/>
            </w:pPr>
            <w:r>
              <w:t xml:space="preserve">1</w:t>
            </w:r>
          </w:p>
        </w:tc>
      </w:tr>
    </w:tbl>
    <w:p>
      <w:pPr>
        <w:pStyle w:val="BodyText"/>
      </w:pPr>
      <w:r>
        <w:t xml:space="preserve">Elegimos utilizar la estratificación número 3 con una fracción de muestreo de 6%.</w:t>
      </w:r>
    </w:p>
    <w:p>
      <w:pPr>
        <w:pStyle w:val="Heading2"/>
      </w:pPr>
      <w:bookmarkStart w:id="29" w:name="diseño-final"/>
      <w:r>
        <w:t xml:space="preserve">Diseño final</w:t>
      </w:r>
      <w:bookmarkEnd w:id="29"/>
    </w:p>
    <w:p>
      <w:pPr>
        <w:pStyle w:val="FirstParagraph"/>
      </w:pPr>
      <w:r>
        <w:t xml:space="preserve">Para el estado de Chihuahua se elige la estratificación 3 que cruza los distritos federales con 2 niveles de lista nominal. Para los estados de Colima, Nayarit y Zacatecas se elige la estratificación 6 que cruza los distritos federales con 2 niveles de índice de marginación y 2 niveles de índice de votos. A continuación aparece el diseño muestral final.</w:t>
      </w:r>
    </w:p>
    <w:tbl>
      <w:tblPr>
        <w:tblStyle w:val="Table"/>
        <w:tblW w:type="pct" w:w="4722.222222222222"/>
        <w:tblLook w:firstRow="1"/>
      </w:tblPr>
      <w:tblGrid>
        <w:gridCol w:w="1320"/>
        <w:gridCol w:w="2200"/>
        <w:gridCol w:w="1980"/>
        <w:gridCol w:w="1980"/>
      </w:tblGrid>
      <w:tr>
        <w:trPr>
          <w:cnfStyle w:firstRow="1"/>
        </w:trPr>
        <w:tc>
          <w:tcPr>
            <w:tcBorders>
              <w:bottom w:val="single"/>
            </w:tcBorders>
            <w:vAlign w:val="bottom"/>
          </w:tcPr>
          <w:p>
            <w:pPr>
              <w:pStyle w:val="Compact"/>
              <w:jc w:val="left"/>
            </w:pPr>
            <w:r>
              <w:t xml:space="preserve">Estado</w:t>
            </w:r>
          </w:p>
        </w:tc>
        <w:tc>
          <w:tcPr>
            <w:tcBorders>
              <w:bottom w:val="single"/>
            </w:tcBorders>
            <w:vAlign w:val="bottom"/>
          </w:tcPr>
          <w:p>
            <w:pPr>
              <w:pStyle w:val="Compact"/>
              <w:jc w:val="right"/>
            </w:pPr>
            <w:r>
              <w:t xml:space="preserve">Fracción_muestreo</w:t>
            </w:r>
          </w:p>
        </w:tc>
        <w:tc>
          <w:tcPr>
            <w:tcBorders>
              <w:bottom w:val="single"/>
            </w:tcBorders>
            <w:vAlign w:val="bottom"/>
          </w:tcPr>
          <w:p>
            <w:pPr>
              <w:pStyle w:val="Compact"/>
              <w:jc w:val="right"/>
            </w:pPr>
            <w:r>
              <w:t xml:space="preserve">Número_estratos</w:t>
            </w:r>
          </w:p>
        </w:tc>
        <w:tc>
          <w:tcPr>
            <w:tcBorders>
              <w:bottom w:val="single"/>
            </w:tcBorders>
            <w:vAlign w:val="bottom"/>
          </w:tcPr>
          <w:p>
            <w:pPr>
              <w:pStyle w:val="Compact"/>
              <w:jc w:val="right"/>
            </w:pPr>
            <w:r>
              <w:t xml:space="preserve">Tamaño_muestra</w:t>
            </w:r>
          </w:p>
        </w:tc>
      </w:tr>
      <w:tr>
        <w:tc>
          <w:p>
            <w:pPr>
              <w:pStyle w:val="Compact"/>
              <w:jc w:val="left"/>
            </w:pPr>
            <w:r>
              <w:t xml:space="preserve">CHIHUAHUA</w:t>
            </w:r>
          </w:p>
        </w:tc>
        <w:tc>
          <w:p>
            <w:pPr>
              <w:pStyle w:val="Compact"/>
              <w:jc w:val="right"/>
            </w:pPr>
            <w:r>
              <w:t xml:space="preserve">0.06</w:t>
            </w:r>
          </w:p>
        </w:tc>
        <w:tc>
          <w:p>
            <w:pPr>
              <w:pStyle w:val="Compact"/>
              <w:jc w:val="right"/>
            </w:pPr>
            <w:r>
              <w:t xml:space="preserve">18</w:t>
            </w:r>
          </w:p>
        </w:tc>
        <w:tc>
          <w:p>
            <w:pPr>
              <w:pStyle w:val="Compact"/>
              <w:jc w:val="right"/>
            </w:pPr>
            <w:r>
              <w:t xml:space="preserve">317</w:t>
            </w:r>
          </w:p>
        </w:tc>
      </w:tr>
      <w:tr>
        <w:tc>
          <w:p>
            <w:pPr>
              <w:pStyle w:val="Compact"/>
              <w:jc w:val="left"/>
            </w:pPr>
            <w:r>
              <w:t xml:space="preserve">COLIMA</w:t>
            </w:r>
          </w:p>
        </w:tc>
        <w:tc>
          <w:p>
            <w:pPr>
              <w:pStyle w:val="Compact"/>
              <w:jc w:val="right"/>
            </w:pPr>
            <w:r>
              <w:t xml:space="preserve">0.20</w:t>
            </w:r>
          </w:p>
        </w:tc>
        <w:tc>
          <w:p>
            <w:pPr>
              <w:pStyle w:val="Compact"/>
              <w:jc w:val="right"/>
            </w:pPr>
            <w:r>
              <w:t xml:space="preserve">6</w:t>
            </w:r>
          </w:p>
        </w:tc>
        <w:tc>
          <w:p>
            <w:pPr>
              <w:pStyle w:val="Compact"/>
              <w:jc w:val="right"/>
            </w:pPr>
            <w:r>
              <w:t xml:space="preserve">190</w:t>
            </w:r>
          </w:p>
        </w:tc>
      </w:tr>
      <w:tr>
        <w:tc>
          <w:p>
            <w:pPr>
              <w:pStyle w:val="Compact"/>
              <w:jc w:val="left"/>
            </w:pPr>
            <w:r>
              <w:t xml:space="preserve">NAYARIT</w:t>
            </w:r>
          </w:p>
        </w:tc>
        <w:tc>
          <w:p>
            <w:pPr>
              <w:pStyle w:val="Compact"/>
              <w:jc w:val="right"/>
            </w:pPr>
            <w:r>
              <w:t xml:space="preserve">0.20</w:t>
            </w:r>
          </w:p>
        </w:tc>
        <w:tc>
          <w:p>
            <w:pPr>
              <w:pStyle w:val="Compact"/>
              <w:jc w:val="right"/>
            </w:pPr>
            <w:r>
              <w:t xml:space="preserve">10</w:t>
            </w:r>
          </w:p>
        </w:tc>
        <w:tc>
          <w:p>
            <w:pPr>
              <w:pStyle w:val="Compact"/>
              <w:jc w:val="right"/>
            </w:pPr>
            <w:r>
              <w:t xml:space="preserve">334</w:t>
            </w:r>
          </w:p>
        </w:tc>
      </w:tr>
      <w:tr>
        <w:tc>
          <w:p>
            <w:pPr>
              <w:pStyle w:val="Compact"/>
              <w:jc w:val="left"/>
            </w:pPr>
            <w:r>
              <w:t xml:space="preserve">ZACATECAS</w:t>
            </w:r>
          </w:p>
        </w:tc>
        <w:tc>
          <w:p>
            <w:pPr>
              <w:pStyle w:val="Compact"/>
              <w:jc w:val="right"/>
            </w:pPr>
            <w:r>
              <w:t xml:space="preserve">0.15</w:t>
            </w:r>
          </w:p>
        </w:tc>
        <w:tc>
          <w:p>
            <w:pPr>
              <w:pStyle w:val="Compact"/>
              <w:jc w:val="right"/>
            </w:pPr>
            <w:r>
              <w:t xml:space="preserve">14</w:t>
            </w:r>
          </w:p>
        </w:tc>
        <w:tc>
          <w:p>
            <w:pPr>
              <w:pStyle w:val="Compact"/>
              <w:jc w:val="right"/>
            </w:pPr>
            <w:r>
              <w:t xml:space="preserve">376</w:t>
            </w:r>
          </w:p>
        </w:tc>
      </w:tr>
    </w:tbl>
    <w:p>
      <w:pPr>
        <w:pStyle w:val="Heading3"/>
      </w:pPr>
      <w:bookmarkStart w:id="30" w:name="referencias"/>
      <w:r>
        <w:t xml:space="preserve">Referencias</w:t>
      </w:r>
      <w:bookmarkEnd w:id="30"/>
    </w:p>
    <w:p>
      <w:pPr>
        <w:pStyle w:val="FirstParagraph"/>
      </w:pPr>
      <w:r>
        <w:t xml:space="preserve">[1]</w:t>
      </w:r>
      <w:r>
        <w:t xml:space="preserve"> </w:t>
      </w:r>
      <w:hyperlink r:id="rId31">
        <w:r>
          <w:rPr>
            <w:rStyle w:val="Hyperlink"/>
          </w:rPr>
          <w:t xml:space="preserve">http://gaia.inegi.org.mx/geoelectoral</w:t>
        </w:r>
      </w:hyperlink>
    </w:p>
    <w:p>
      <w:pPr>
        <w:pStyle w:val="BodyText"/>
      </w:pPr>
      <w:r>
        <w:t xml:space="preserve">[2]</w:t>
      </w:r>
      <w:r>
        <w:t xml:space="preserve"> </w:t>
      </w:r>
      <w:hyperlink r:id="rId32">
        <w:r>
          <w:rPr>
            <w:rStyle w:val="Hyperlink"/>
          </w:rPr>
          <w:t xml:space="preserve">https://tereom.github.io/est_computacional/05-Bootsrap.html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31" Target="http://gaia.inegi.org.mx/geoelectoral" TargetMode="External" /><Relationship Type="http://schemas.openxmlformats.org/officeDocument/2006/relationships/hyperlink" Id="rId32" Target="https://tereom.github.io/est_computacional/05-Bootsrap.html" TargetMode="External" /></Relationships>
</file>

<file path=word/_rels/footnotes.xml.rels><?xml version="1.0" encoding="UTF-8"?>
<Relationships xmlns="http://schemas.openxmlformats.org/package/2006/relationships"><Relationship Type="http://schemas.openxmlformats.org/officeDocument/2006/relationships/hyperlink" Id="rId31" Target="http://gaia.inegi.org.mx/geoelectoral" TargetMode="External" /><Relationship Type="http://schemas.openxmlformats.org/officeDocument/2006/relationships/hyperlink" Id="rId32" Target="https://tereom.github.io/est_computacional/05-Bootsra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de muestreo</dc:title>
  <dc:creator>M. Anzarut, F. González, I. Meza, T. Ortiz</dc:creator>
  <cp:keywords/>
  <dcterms:created xsi:type="dcterms:W3CDTF">2021-04-04T16:07:11Z</dcterms:created>
  <dcterms:modified xsi:type="dcterms:W3CDTF">2021-04-04T16:07:11Z</dcterms:modified>
</cp:coreProperties>
</file>