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85041"/>
          <w:sz w:val="44"/>
          <w:szCs w:val="44"/>
        </w:rPr>
        <w:t xml:space="preserve">Metodología de aforo</w:t>
      </w:r>
    </w:p>
    <w:p>
      <w:pPr>
        <w:spacing w:after="40"/>
      </w:pPr>
      <w:r>
        <w:rPr>
          <w:color w:val="5F5E5A"/>
          <w:sz w:val="24"/>
          <w:szCs w:val="24"/>
        </w:rPr>
        <w:t xml:space="preserve">Muestreo por cuadrícula digital asistido por IA — Festival Petronio Álvarez</w:t>
      </w:r>
    </w:p>
    <w:p>
      <w:pPr>
        <w:spacing w:after="400"/>
      </w:pPr>
      <w:r>
        <w:rPr>
          <w:i/>
          <w:iCs/>
          <w:color w:val="5F5E5A"/>
          <w:sz w:val="20"/>
          <w:szCs w:val="20"/>
        </w:rPr>
        <w:t xml:space="preserve">Versión de trabajo — agosto 2026</w:t>
      </w:r>
    </w:p>
    <w:p>
      <w:pPr>
        <w:pStyle w:val="Heading1"/>
        <w:spacing w:after="160" w:before="320"/>
      </w:pPr>
      <w:r>
        <w:t xml:space="preserve">1. Objetivo y contexto</w:t>
      </w:r>
    </w:p>
    <w:p>
      <w:pPr>
        <w:spacing w:after="140"/>
      </w:pPr>
      <w:r>
        <w:t xml:space="preserve">Establecer un procedimiento estandarizado, replicable y estadísticamente defendible para estimar el aforo instantáneo, la asistencia diaria y la asistencia total del Festival de Música del Pacífico Petronio Álvarez, ejecutable por una sola persona con un teléfono celular, sin conexión a internet en el sitio.</w:t>
      </w:r>
    </w:p>
    <w:p>
      <w:pPr>
        <w:spacing w:after="140"/>
      </w:pPr>
      <w:r>
        <w:t xml:space="preserve">Esta edición se midió con una metodología distinta a la utilizada en ediciones anteriores. La metodología previa no cuenta con documentación técnica completa disponible que permita verificar de forma independiente su ejecución operativa (por ejemplo, el despliegue efectivo del número de observadores descrito, o la trazabilidad completa del proceso de calibración estadística aplicado). Ante esta limitación, se optó por implementar una metodología nueva, construida y documentada de forma íntegra, verificable y reproducible, descrita en detalle en este documento.</w:t>
      </w:r>
    </w:p>
    <w:p>
      <w:pPr>
        <w:spacing w:after="140"/>
      </w:pPr>
      <w:r>
        <w:t xml:space="preserve">Como consecuencia de este cambio, las cifras de esta edición pueden no ser directamente comparables con las de años anteriores. Esta es una práctica reconocida y estándar en estadística oficial: cuando una entidad cambia la metodología de una medición (por ejemplo, el DANE al actualizar la metodología de cálculo del PIB o de sus encuestas), se documenta explícitamente el cambio y se recomienda tratar el nuevo periodo como el inicio de una nueva serie metodológica, en lugar de forzar una continuidad artificial con cifras que no fueron producidas de la misma manera. Se recomienda mantener esta misma metodología en ediciones futuras para permitir comparaciones válidas hacia adelante (ver también la sección 17).</w:t>
      </w:r>
    </w:p>
    <w:p>
      <w:pPr>
        <w:pStyle w:val="Heading1"/>
        <w:spacing w:after="160" w:before="320"/>
      </w:pPr>
      <w:r>
        <w:t xml:space="preserve">2. Alcance: tres magnitudes distintas</w:t>
      </w:r>
    </w:p>
    <w:p>
      <w:pPr>
        <w:spacing w:after="140"/>
      </w:pPr>
      <w:r>
        <w:t xml:space="preserve">La metodología distingue tres magnitudes que requieren tratamiento estadístico diferente y no deben confundirse:</w:t>
      </w:r>
    </w:p>
    <w:p>
      <w:pPr>
        <w:pStyle w:val="ListParagraph"/>
        <w:numPr>
          <w:ilvl w:val="0"/>
          <w:numId w:val="1"/>
        </w:numPr>
        <w:spacing w:after="80"/>
      </w:pPr>
      <w:r>
        <w:t xml:space="preserve">Aforo instantáneo: número de personas presentes en el recinto en un momento dado.</w:t>
      </w:r>
    </w:p>
    <w:p>
      <w:pPr>
        <w:pStyle w:val="ListParagraph"/>
        <w:numPr>
          <w:ilvl w:val="0"/>
          <w:numId w:val="1"/>
        </w:numPr>
        <w:spacing w:after="80"/>
      </w:pPr>
      <w:r>
        <w:t xml:space="preserve">Asistencia diaria: número de personas distintas que pasaron por el evento en un día.</w:t>
      </w:r>
    </w:p>
    <w:p>
      <w:pPr>
        <w:pStyle w:val="ListParagraph"/>
        <w:numPr>
          <w:ilvl w:val="0"/>
          <w:numId w:val="1"/>
        </w:numPr>
        <w:spacing w:after="80"/>
      </w:pPr>
      <w:r>
        <w:t xml:space="preserve">Asistencia total del evento: número de personas distintas en todos los días del evento, corrigiendo la repetición de asistentes entre días.</w:t>
      </w:r>
    </w:p>
    <w:p>
      <w:pPr>
        <w:pStyle w:val="Heading1"/>
        <w:spacing w:after="160" w:before="320"/>
      </w:pPr>
      <w:r>
        <w:t xml:space="preserve">3. Marco de referencia: método Jacobs</w:t>
      </w:r>
    </w:p>
    <w:p>
      <w:pPr>
        <w:spacing w:after="140"/>
      </w:pPr>
      <w:r>
        <w:t xml:space="preserve">Esta metodología se basa en el método Jacobs (Herbert Jacobs, años 60), la técnica estándar reconocida mundialmente para estimar el tamaño de multitudes en protestas, conciertos y eventos masivos — usada, entre otros casos, para estimar la asistencia en el National Mall de Washington y en manifestaciones masivas en distintos países. El método consiste en dividir el área ocupada por una multitud en secciones de tamaño conocido (una cuadrícula), contar la densidad promedio en una muestra de esas secciones, y multiplicar por el número total de secciones que componen el área completa.</w:t>
      </w:r>
    </w:p>
    <w:p>
      <w:pPr>
        <w:spacing w:after="140"/>
      </w:pPr>
      <w:r>
        <w:t xml:space="preserve">El método Jacobs original no incluye un margen de error formal. Esta metodología lo incorpora explícitamente: en lugar de una única cifra, se calcula un intervalo de confianza a partir de la variabilidad real observada entre las muestras, más un ajuste adicional por el sesgo conocido del modelo de conteo utilizado (fases 8 y 9 más adelante).</w:t>
      </w:r>
    </w:p>
    <w:p>
      <w:pPr>
        <w:pStyle w:val="Heading1"/>
        <w:spacing w:after="160" w:before="320"/>
      </w:pPr>
      <w:r>
        <w:t xml:space="preserve">4. Fase 1 — Definición de zonas</w:t>
      </w:r>
    </w:p>
    <w:p>
      <w:pPr>
        <w:spacing w:after="140"/>
      </w:pPr>
      <w:r>
        <w:t xml:space="preserve">Se utilizan las cinco zonas oficiales del festival, ya establecidas en mediciones previas del evento, lo cual facilita la comparación conceptual (no necesariamente numérica) con series anteriores: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800"/>
      </w:tblGrid>
      <w:tr>
        <w:trPr>
          <w:tblHeader/>
        </w:trPr>
        <w:tc>
          <w:tcPr>
            <w:tcW w:type="dxa" w:w="1200"/>
            <w:shd w:fill="0F6E56" w:val="clear"/>
          </w:tcPr>
          <w:p>
            <w:r>
              <w:rPr>
                <w:b/>
                <w:bCs/>
                <w:color w:val="FFFFFF"/>
                <w:sz w:val="20"/>
                <w:szCs w:val="20"/>
              </w:rPr>
              <w:t xml:space="preserve">ID</w:t>
            </w:r>
          </w:p>
        </w:tc>
        <w:tc>
          <w:tcPr>
            <w:tcW w:type="dxa" w:w="4400"/>
            <w:shd w:fill="0F6E56" w:val="clear"/>
          </w:tcPr>
          <w:p>
            <w:r>
              <w:rPr>
                <w:b/>
                <w:bCs/>
                <w:color w:val="FFFFFF"/>
                <w:sz w:val="20"/>
                <w:szCs w:val="20"/>
              </w:rPr>
              <w:t xml:space="preserve">Zona</w:t>
            </w:r>
          </w:p>
        </w:tc>
        <w:tc>
          <w:tcPr>
            <w:tcW w:type="dxa" w:w="3800"/>
            <w:shd w:fill="0F6E56" w:val="clear"/>
          </w:tcPr>
          <w:p>
            <w:r>
              <w:rPr>
                <w:b/>
                <w:bCs/>
                <w:color w:val="FFFFFF"/>
                <w:sz w:val="20"/>
                <w:szCs w:val="20"/>
              </w:rPr>
              <w:t xml:space="preserve">Densidad esperada</w:t>
            </w:r>
          </w:p>
        </w:tc>
      </w:tr>
      <w:tr>
        <w:tc>
          <w:tcPr>
            <w:tcW w:type="dxa" w:w="1200"/>
          </w:tcPr>
          <w:p>
            <w:r>
              <w:rPr>
                <w:b w:val="false"/>
                <w:bCs w:val="false"/>
                <w:color w:val="000000"/>
                <w:sz w:val="20"/>
                <w:szCs w:val="20"/>
              </w:rPr>
              <w:t xml:space="preserve">Z1</w:t>
            </w:r>
          </w:p>
        </w:tc>
        <w:tc>
          <w:tcPr>
            <w:tcW w:type="dxa" w:w="4400"/>
          </w:tcPr>
          <w:p>
            <w:r>
              <w:rPr>
                <w:b w:val="false"/>
                <w:bCs w:val="false"/>
                <w:color w:val="000000"/>
                <w:sz w:val="20"/>
                <w:szCs w:val="20"/>
              </w:rPr>
              <w:t xml:space="preserve">Artesanías</w:t>
            </w:r>
          </w:p>
        </w:tc>
        <w:tc>
          <w:tcPr>
            <w:tcW w:type="dxa" w:w="3800"/>
          </w:tcPr>
          <w:p>
            <w:r>
              <w:rPr>
                <w:b w:val="false"/>
                <w:bCs w:val="false"/>
                <w:color w:val="000000"/>
                <w:sz w:val="20"/>
                <w:szCs w:val="20"/>
              </w:rPr>
              <w:t xml:space="preserve">Media</w:t>
            </w:r>
          </w:p>
        </w:tc>
      </w:tr>
      <w:tr>
        <w:tc>
          <w:tcPr>
            <w:tcW w:type="dxa" w:w="1200"/>
          </w:tcPr>
          <w:p>
            <w:r>
              <w:rPr>
                <w:b w:val="false"/>
                <w:bCs w:val="false"/>
                <w:color w:val="000000"/>
                <w:sz w:val="20"/>
                <w:szCs w:val="20"/>
              </w:rPr>
              <w:t xml:space="preserve">Z2</w:t>
            </w:r>
          </w:p>
        </w:tc>
        <w:tc>
          <w:tcPr>
            <w:tcW w:type="dxa" w:w="4400"/>
          </w:tcPr>
          <w:p>
            <w:r>
              <w:rPr>
                <w:b w:val="false"/>
                <w:bCs w:val="false"/>
                <w:color w:val="000000"/>
                <w:sz w:val="20"/>
                <w:szCs w:val="20"/>
              </w:rPr>
              <w:t xml:space="preserve">Alimentos</w:t>
            </w:r>
          </w:p>
        </w:tc>
        <w:tc>
          <w:tcPr>
            <w:tcW w:type="dxa" w:w="3800"/>
          </w:tcPr>
          <w:p>
            <w:r>
              <w:rPr>
                <w:b w:val="false"/>
                <w:bCs w:val="false"/>
                <w:color w:val="000000"/>
                <w:sz w:val="20"/>
                <w:szCs w:val="20"/>
              </w:rPr>
              <w:t xml:space="preserve">Media</w:t>
            </w:r>
          </w:p>
        </w:tc>
      </w:tr>
      <w:tr>
        <w:tc>
          <w:tcPr>
            <w:tcW w:type="dxa" w:w="1200"/>
          </w:tcPr>
          <w:p>
            <w:r>
              <w:rPr>
                <w:b w:val="false"/>
                <w:bCs w:val="false"/>
                <w:color w:val="000000"/>
                <w:sz w:val="20"/>
                <w:szCs w:val="20"/>
              </w:rPr>
              <w:t xml:space="preserve">Z3</w:t>
            </w:r>
          </w:p>
        </w:tc>
        <w:tc>
          <w:tcPr>
            <w:tcW w:type="dxa" w:w="4400"/>
          </w:tcPr>
          <w:p>
            <w:r>
              <w:rPr>
                <w:b w:val="false"/>
                <w:bCs w:val="false"/>
                <w:color w:val="000000"/>
                <w:sz w:val="20"/>
                <w:szCs w:val="20"/>
              </w:rPr>
              <w:t xml:space="preserve">Bebidas</w:t>
            </w:r>
          </w:p>
        </w:tc>
        <w:tc>
          <w:tcPr>
            <w:tcW w:type="dxa" w:w="3800"/>
          </w:tcPr>
          <w:p>
            <w:r>
              <w:rPr>
                <w:b w:val="false"/>
                <w:bCs w:val="false"/>
                <w:color w:val="000000"/>
                <w:sz w:val="20"/>
                <w:szCs w:val="20"/>
              </w:rPr>
              <w:t xml:space="preserve">Media</w:t>
            </w:r>
          </w:p>
        </w:tc>
      </w:tr>
      <w:tr>
        <w:tc>
          <w:tcPr>
            <w:tcW w:type="dxa" w:w="1200"/>
          </w:tcPr>
          <w:p>
            <w:r>
              <w:rPr>
                <w:b w:val="false"/>
                <w:bCs w:val="false"/>
                <w:color w:val="000000"/>
                <w:sz w:val="20"/>
                <w:szCs w:val="20"/>
              </w:rPr>
              <w:t xml:space="preserve">Z4</w:t>
            </w:r>
          </w:p>
        </w:tc>
        <w:tc>
          <w:tcPr>
            <w:tcW w:type="dxa" w:w="4400"/>
          </w:tcPr>
          <w:p>
            <w:r>
              <w:rPr>
                <w:b w:val="false"/>
                <w:bCs w:val="false"/>
                <w:color w:val="000000"/>
                <w:sz w:val="20"/>
                <w:szCs w:val="20"/>
              </w:rPr>
              <w:t xml:space="preserve">Zona de Conciertos</w:t>
            </w:r>
          </w:p>
        </w:tc>
        <w:tc>
          <w:tcPr>
            <w:tcW w:type="dxa" w:w="3800"/>
          </w:tcPr>
          <w:p>
            <w:r>
              <w:rPr>
                <w:b w:val="false"/>
                <w:bCs w:val="false"/>
                <w:color w:val="000000"/>
                <w:sz w:val="20"/>
                <w:szCs w:val="20"/>
              </w:rPr>
              <w:t xml:space="preserve">Alta</w:t>
            </w:r>
          </w:p>
        </w:tc>
      </w:tr>
      <w:tr>
        <w:tc>
          <w:tcPr>
            <w:tcW w:type="dxa" w:w="1200"/>
          </w:tcPr>
          <w:p>
            <w:r>
              <w:rPr>
                <w:b w:val="false"/>
                <w:bCs w:val="false"/>
                <w:color w:val="000000"/>
                <w:sz w:val="20"/>
                <w:szCs w:val="20"/>
              </w:rPr>
              <w:t xml:space="preserve">Z5</w:t>
            </w:r>
          </w:p>
        </w:tc>
        <w:tc>
          <w:tcPr>
            <w:tcW w:type="dxa" w:w="4400"/>
          </w:tcPr>
          <w:p>
            <w:r>
              <w:rPr>
                <w:b w:val="false"/>
                <w:bCs w:val="false"/>
                <w:color w:val="000000"/>
                <w:sz w:val="20"/>
                <w:szCs w:val="20"/>
              </w:rPr>
              <w:t xml:space="preserve">Quilombo</w:t>
            </w:r>
          </w:p>
        </w:tc>
        <w:tc>
          <w:tcPr>
            <w:tcW w:type="dxa" w:w="3800"/>
          </w:tcPr>
          <w:p>
            <w:r>
              <w:rPr>
                <w:b w:val="false"/>
                <w:bCs w:val="false"/>
                <w:color w:val="000000"/>
                <w:sz w:val="20"/>
                <w:szCs w:val="20"/>
              </w:rPr>
              <w:t xml:space="preserve">Media-baja</w:t>
            </w:r>
          </w:p>
        </w:tc>
      </w:tr>
    </w:tbl>
    <w:p>
      <w:pPr>
        <w:pStyle w:val="Heading1"/>
        <w:spacing w:after="160" w:before="320"/>
      </w:pPr>
      <w:r>
        <w:t xml:space="preserve">5. Fase 2 — Definición de la unidad de muestra</w:t>
      </w:r>
    </w:p>
    <w:p>
      <w:pPr>
        <w:spacing w:after="140"/>
      </w:pPr>
      <w:r>
        <w:t xml:space="preserve">Para cada zona se define una unidad de muestra: un pedazo de la zona fácilmente reconocible y repetible (ej. una fila de tres carpas, un tramo de 5×5 pasos), sin necesidad de medirlo en metros. Se establece de dos formas posibles:</w:t>
      </w:r>
    </w:p>
    <w:p>
      <w:pPr>
        <w:pStyle w:val="ListParagraph"/>
        <w:numPr>
          <w:ilvl w:val="0"/>
          <w:numId w:val="1"/>
        </w:numPr>
        <w:spacing w:after="80"/>
      </w:pPr>
      <w:r>
        <w:t xml:space="preserve">Conteo de objetos repetidos: cuando la zona tiene elementos físicos ya distribuidos (carpas, stands), se cuenta directamente cuántos de esos elementos hay en total.</w:t>
      </w:r>
    </w:p>
    <w:p>
      <w:pPr>
        <w:pStyle w:val="ListParagraph"/>
        <w:numPr>
          <w:ilvl w:val="0"/>
          <w:numId w:val="1"/>
        </w:numPr>
        <w:spacing w:after="80"/>
      </w:pPr>
      <w:r>
        <w:t xml:space="preserve">Medición en pasos: cuando la zona es abierta y sin objetos repetidos (ej. la Zona de Conciertos), se camina y se cuenta el número de pasos del ancho y del fondo del área.</w:t>
      </w:r>
    </w:p>
    <w:p>
      <w:pPr>
        <w:spacing w:after="140"/>
      </w:pPr>
      <w:r>
        <w:t xml:space="preserve">Zonas de forma irregular: la mayoría de zonas del festival no tienen forma de rectángulo perfecto. En ese caso, la zona se divide mentalmente en 2 o 3 tramos rectangulares que sí se puedan medir por separado, y sus áreas se suman:</w:t>
      </w:r>
    </w:p>
    <w:p>
      <w:pPr>
        <w:shd w:fill="EAF3DE" w:val="clear"/>
        <w:spacing w:after="200" w:before="100"/>
        <w:ind w:left="200" w:right="200"/>
      </w:pPr>
      <w:r>
        <w:rPr>
          <w:rFonts w:ascii="Consolas" w:cs="Consolas" w:eastAsia="Consolas" w:hAnsi="Consolas"/>
          <w:color w:val="085041"/>
          <w:sz w:val="20"/>
          <w:szCs w:val="20"/>
        </w:rPr>
        <w:t xml:space="preserve">Área_total_zona = Σ (ancho_tramo × fondo_tramo), sumando todos los tramos</w:t>
      </w:r>
    </w:p>
    <w:p>
      <w:pPr>
        <w:shd w:fill="EAF3DE" w:val="clear"/>
        <w:spacing w:after="200" w:before="100"/>
        <w:ind w:left="200" w:right="200"/>
      </w:pPr>
      <w:r>
        <w:rPr>
          <w:rFonts w:ascii="Consolas" w:cs="Consolas" w:eastAsia="Consolas" w:hAnsi="Consolas"/>
          <w:color w:val="085041"/>
          <w:sz w:val="20"/>
          <w:szCs w:val="20"/>
        </w:rPr>
        <w:t xml:space="preserve">Unidades_totales = Área_total_zona ÷ (ancho_muestra × fondo_muestra)</w:t>
      </w:r>
    </w:p>
    <w:p>
      <w:pPr>
        <w:spacing w:after="140"/>
      </w:pPr>
      <w:r>
        <w:t xml:space="preserve">Esta medición se realiza una sola vez, apenas esté montada la infraestructura del evento, y no se repite en cada ronda.</w:t>
      </w:r>
    </w:p>
    <w:p>
      <w:pPr>
        <w:pStyle w:val="Heading1"/>
        <w:spacing w:after="160" w:before="320"/>
      </w:pPr>
      <w:r>
        <w:t xml:space="preserve">6. Fase 3 — Muestreo por cuadrícula digital (aplicación del método Jacobs)</w:t>
      </w:r>
    </w:p>
    <w:p>
      <w:pPr>
        <w:spacing w:after="140"/>
      </w:pPr>
      <w:r>
        <w:t xml:space="preserve">En cada ronda se fotografía una porción de la zona — no hace falta, ni es realista, cubrir el 100% del área en una sola imagen. Sobre esa fotografía, la herramienta digital superpone una cuadrícula ajustable, cuyas celdas se calibran visualmente para aproximarse al tamaño de la unidad de muestra definida en la Fase 2.</w:t>
      </w:r>
    </w:p>
    <w:p>
      <w:pPr>
        <w:spacing w:after="140"/>
      </w:pPr>
      <w:r>
        <w:t xml:space="preserve">El observador selecciona varias celdas representativas de la cuadrícula (idealmente 4 o 5, evitando celdas cortadas en el borde de la imagen). Para cada celda seleccionada, la herramienta cuenta automáticamente cuántas personas detectadas caen dentro de sus límites. Estos conteos por celda son las muestras de la ronda — equivalentes, en el método Jacobs original, a contar la densidad en varias secciones de la cuadrícula.</w:t>
      </w:r>
    </w:p>
    <w:p>
      <w:pPr>
        <w:spacing w:after="140"/>
      </w:pPr>
      <w:r>
        <w:t xml:space="preserve">Se puede repetir el proceso con más de una fotografía dentro de la misma ronda (tomadas desde puntos distintos de la zona), sumando celdas de cada una a la misma lista de muestras, para evitar que todas las muestras vengan de un único rincón de la zona.</w:t>
      </w:r>
    </w:p>
    <w:p>
      <w:pPr>
        <w:pStyle w:val="Heading1"/>
        <w:spacing w:after="160" w:before="320"/>
      </w:pPr>
      <w:r>
        <w:t xml:space="preserve">7. Fase 4 — Conteo automático</w:t>
      </w:r>
    </w:p>
    <w:p>
      <w:pPr>
        <w:spacing w:after="140"/>
      </w:pPr>
      <w:r>
        <w:t xml:space="preserve">La detección de personas en cada celda se realiza mediante un modelo YOLOv8 (variante nano) afinado sobre el dataset CrowdHuman — un banco de imágenes construido específicamente para escenas de multitud con oclusión pesada, a diferencia de datasets genéricos con pocas personas por imagen. El modelo se ejecuta localmente en el dispositivo mediante TensorFlow.js, sin conexión a internet, una vez cargado inicialmente.</w:t>
      </w:r>
    </w:p>
    <w:p>
      <w:pPr>
        <w:spacing w:after="140"/>
      </w:pPr>
      <w:r>
        <w:t xml:space="preserve">El conteo automático puede corregirse manualmente en cualquier momento si el observador considera que el modelo se equivocó, en particular en celdas de muy alta densidad.</w:t>
      </w:r>
    </w:p>
    <w:p>
      <w:pPr>
        <w:pStyle w:val="Heading1"/>
        <w:spacing w:after="160" w:before="320"/>
      </w:pPr>
      <w:r>
        <w:t xml:space="preserve">8. Fase 4b — Calibración del modelo (obligatoria antes del evento)</w:t>
      </w:r>
    </w:p>
    <w:p>
      <w:pPr>
        <w:spacing w:after="140"/>
      </w:pPr>
      <w:r>
        <w:t xml:space="preserve">Antes de operar la herramienta el día del evento, se debe ejecutar un protocolo de calibración con una herramienta independiente de prueba:</w:t>
      </w:r>
    </w:p>
    <w:p>
      <w:pPr>
        <w:pStyle w:val="ListParagraph"/>
        <w:numPr>
          <w:ilvl w:val="0"/>
          <w:numId w:val="2"/>
        </w:numPr>
        <w:spacing w:after="80"/>
      </w:pPr>
      <w:r>
        <w:t xml:space="preserve">Tomar una serie de fotografías de prueba con distintos niveles de densidad de personas, preferiblemente en condiciones similares a las del evento.</w:t>
      </w:r>
    </w:p>
    <w:p>
      <w:pPr>
        <w:pStyle w:val="ListParagraph"/>
        <w:numPr>
          <w:ilvl w:val="0"/>
          <w:numId w:val="2"/>
        </w:numPr>
        <w:spacing w:after="80"/>
      </w:pPr>
      <w:r>
        <w:t xml:space="preserve">Para cada fotografía, registrar el conteo automático del modelo y, de inmediato, el conteo manual real de la misma imagen.</w:t>
      </w:r>
    </w:p>
    <w:p>
      <w:pPr>
        <w:pStyle w:val="ListParagraph"/>
        <w:numPr>
          <w:ilvl w:val="0"/>
          <w:numId w:val="2"/>
        </w:numPr>
        <w:spacing w:after="80"/>
      </w:pPr>
      <w:r>
        <w:t xml:space="preserve">Registrar el rango de diferencia porcentual observado entre ambos (no un promedio único) — es decir, el sesgo mínimo y máximo observado en el conjunto de pruebas.</w:t>
      </w:r>
    </w:p>
    <w:p>
      <w:pPr>
        <w:spacing w:after="140"/>
      </w:pPr>
      <w:r>
        <w:t xml:space="preserve">Este rango, no un solo valor puntual, es el que se usa en la Fase 5 para ajustar el resultado final. Usar un rango en vez de un número fijo refleja honestamente que no se conoce con certeza absoluta cuánto se equivoca el modelo, evitando una falsa precisión.</w:t>
      </w:r>
    </w:p>
    <w:p>
      <w:pPr>
        <w:pStyle w:val="Heading1"/>
        <w:spacing w:after="160" w:before="320"/>
      </w:pPr>
      <w:r>
        <w:t xml:space="preserve">9. Fase 5 — Cálculo y extrapolación</w:t>
      </w:r>
    </w:p>
    <w:p>
      <w:pPr>
        <w:spacing w:after="140"/>
      </w:pPr>
      <w:r>
        <w:t xml:space="preserve">El margen de error se calcula en dos etapas independientes, que se combinan al final.</w:t>
      </w:r>
    </w:p>
    <w:p>
      <w:pPr>
        <w:spacing w:after="140"/>
      </w:pPr>
      <w:r>
        <w:t xml:space="preserve">Primera etapa — variabilidad entre las muestras de la ronda:</w:t>
      </w:r>
    </w:p>
    <w:p>
      <w:pPr>
        <w:shd w:fill="EAF3DE" w:val="clear"/>
        <w:spacing w:after="200" w:before="100"/>
        <w:ind w:left="200" w:right="200"/>
      </w:pPr>
      <w:r>
        <w:rPr>
          <w:rFonts w:ascii="Consolas" w:cs="Consolas" w:eastAsia="Consolas" w:hAnsi="Consolas"/>
          <w:color w:val="085041"/>
          <w:sz w:val="20"/>
          <w:szCs w:val="20"/>
        </w:rPr>
        <w:t xml:space="preserve">Media = promedio de las k muestras (celdas) de la ronda</w:t>
      </w:r>
    </w:p>
    <w:p>
      <w:pPr>
        <w:shd w:fill="EAF3DE" w:val="clear"/>
        <w:spacing w:after="200" w:before="100"/>
        <w:ind w:left="200" w:right="200"/>
      </w:pPr>
      <w:r>
        <w:rPr>
          <w:rFonts w:ascii="Consolas" w:cs="Consolas" w:eastAsia="Consolas" w:hAnsi="Consolas"/>
          <w:color w:val="085041"/>
          <w:sz w:val="20"/>
          <w:szCs w:val="20"/>
        </w:rPr>
        <w:t xml:space="preserve">Desviación estándar muestral (s) = variabilidad observada entre las muestras</w:t>
      </w:r>
    </w:p>
    <w:p>
      <w:pPr>
        <w:shd w:fill="EAF3DE" w:val="clear"/>
        <w:spacing w:after="200" w:before="100"/>
        <w:ind w:left="200" w:right="200"/>
      </w:pPr>
      <w:r>
        <w:rPr>
          <w:rFonts w:ascii="Consolas" w:cs="Consolas" w:eastAsia="Consolas" w:hAnsi="Consolas"/>
          <w:color w:val="085041"/>
          <w:sz w:val="20"/>
          <w:szCs w:val="20"/>
        </w:rPr>
        <w:t xml:space="preserve">Margen = t(k−1) × (s ÷ √k)</w:t>
      </w:r>
    </w:p>
    <w:p>
      <w:pPr>
        <w:shd w:fill="EAF3DE" w:val="clear"/>
        <w:spacing w:after="200" w:before="100"/>
        <w:ind w:left="200" w:right="200"/>
      </w:pPr>
      <w:r>
        <w:rPr>
          <w:rFonts w:ascii="Consolas" w:cs="Consolas" w:eastAsia="Consolas" w:hAnsi="Consolas"/>
          <w:color w:val="085041"/>
          <w:sz w:val="20"/>
          <w:szCs w:val="20"/>
        </w:rPr>
        <w:t xml:space="preserve">Intervalo estadístico = Media ± Margen</w:t>
      </w:r>
    </w:p>
    <w:p>
      <w:pPr>
        <w:spacing w:after="140"/>
      </w:pPr>
      <w:r>
        <w:t xml:space="preserve">t(k−1) es el valor crítico de la distribución t de Student para k−1 grados de libertad al 95% de confianza. Se recomienda un mínimo de 4 muestras por ronda para que este margen sea estable.</w:t>
      </w:r>
    </w:p>
    <w:p>
      <w:pPr>
        <w:spacing w:after="140"/>
      </w:pPr>
      <w:r>
        <w:t xml:space="preserve">Segunda etapa — ensanche por el rango de sesgo del modelo (Fase 4b):</w:t>
      </w:r>
    </w:p>
    <w:p>
      <w:pPr>
        <w:shd w:fill="EAF3DE" w:val="clear"/>
        <w:spacing w:after="200" w:before="100"/>
        <w:ind w:left="200" w:right="200"/>
      </w:pPr>
      <w:r>
        <w:rPr>
          <w:rFonts w:ascii="Consolas" w:cs="Consolas" w:eastAsia="Consolas" w:hAnsi="Consolas"/>
          <w:color w:val="085041"/>
          <w:sz w:val="20"/>
          <w:szCs w:val="20"/>
        </w:rPr>
        <w:t xml:space="preserve">Total_zona = Media × unidades_totales</w:t>
      </w:r>
    </w:p>
    <w:p>
      <w:pPr>
        <w:shd w:fill="EAF3DE" w:val="clear"/>
        <w:spacing w:after="200" w:before="100"/>
        <w:ind w:left="200" w:right="200"/>
      </w:pPr>
      <w:r>
        <w:rPr>
          <w:rFonts w:ascii="Consolas" w:cs="Consolas" w:eastAsia="Consolas" w:hAnsi="Consolas"/>
          <w:color w:val="085041"/>
          <w:sz w:val="20"/>
          <w:szCs w:val="20"/>
        </w:rPr>
        <w:t xml:space="preserve">Límite_inferior_final = Límite_inferior_estadístico × (1 + sesgo_mínimo ÷ 100)</w:t>
      </w:r>
    </w:p>
    <w:p>
      <w:pPr>
        <w:shd w:fill="EAF3DE" w:val="clear"/>
        <w:spacing w:after="200" w:before="100"/>
        <w:ind w:left="200" w:right="200"/>
      </w:pPr>
      <w:r>
        <w:rPr>
          <w:rFonts w:ascii="Consolas" w:cs="Consolas" w:eastAsia="Consolas" w:hAnsi="Consolas"/>
          <w:color w:val="085041"/>
          <w:sz w:val="20"/>
          <w:szCs w:val="20"/>
        </w:rPr>
        <w:t xml:space="preserve">Límite_superior_final = Límite_superior_estadístico × (1 + sesgo_máximo ÷ 100)</w:t>
      </w:r>
    </w:p>
    <w:p>
      <w:pPr>
        <w:spacing w:after="140"/>
      </w:pPr>
      <w:r>
        <w:t xml:space="preserve">El resultado final no es un ajuste del valor central por un único número, sino un ensanche de los dos extremos del intervalo, cada uno con el extremo de sesgo que le corresponde. Esto evita mezclar dos fuentes de incertidumbre distintas (variabilidad espacial de la muestra, y confiabilidad del modelo) en una sola cifra falsamente precisa.</w:t>
      </w:r>
    </w:p>
    <w:p>
      <w:pPr>
        <w:shd w:fill="EAF3DE" w:val="clear"/>
        <w:spacing w:after="200" w:before="100"/>
        <w:ind w:left="200" w:right="200"/>
      </w:pPr>
      <w:r>
        <w:rPr>
          <w:rFonts w:ascii="Consolas" w:cs="Consolas" w:eastAsia="Consolas" w:hAnsi="Consolas"/>
          <w:color w:val="085041"/>
          <w:sz w:val="20"/>
          <w:szCs w:val="20"/>
        </w:rPr>
        <w:t xml:space="preserve">Aforo_instantáneo_total = suma de Total_zona de todas las zonas</w:t>
      </w:r>
    </w:p>
    <w:p>
      <w:pPr>
        <w:pStyle w:val="Heading1"/>
        <w:spacing w:after="160" w:before="320"/>
      </w:pPr>
      <w:r>
        <w:t xml:space="preserve">10. Fase 6 — Frecuencia de medición</w:t>
      </w:r>
    </w:p>
    <w:p>
      <w:pPr>
        <w:spacing w:after="140"/>
      </w:pPr>
      <w:r>
        <w:t xml:space="preserve">Cada ronda queda registrada automáticamente con la hora exacta del dispositivo al momento de guardarla; no se ingresa manualmente. No se exige una cadencia fija de una medición por hora — se recomienda una periodicidad regular (cada 1 a 2 horas) para que la curva del día sea representativa, priorizando mediciones adicionales ante cambios notorios de afluencia.</w:t>
      </w:r>
    </w:p>
    <w:p>
      <w:pPr>
        <w:spacing w:after="140"/>
      </w:pPr>
      <w:r>
        <w:t xml:space="preserve">Entre mediciones, la curva del día se construye tomando el último valor conocido de cada zona en cada punto de tiempo, de la cual se obtiene el aforo pico y el aforo promedio del día.</w:t>
      </w:r>
    </w:p>
    <w:p>
      <w:pPr>
        <w:pStyle w:val="Heading1"/>
        <w:spacing w:after="160" w:before="320"/>
      </w:pPr>
      <w:r>
        <w:t xml:space="preserve">11. Fase 7 — Conteo de flujo en accesos (verificación opcional)</w:t>
      </w:r>
    </w:p>
    <w:p>
      <w:pPr>
        <w:spacing w:after="140"/>
      </w:pPr>
      <w:r>
        <w:t xml:space="preserve">Como verificación independiente adicional, si se dispone de tiempo o apoyo, se puede grabar el flujo de personas en los accesos y compararlo contra el resultado del método de zonas. No es una fase obligatoria de la operación estándar con una sola persona.</w:t>
      </w:r>
    </w:p>
    <w:p>
      <w:pPr>
        <w:pStyle w:val="Heading1"/>
        <w:spacing w:after="160" w:before="320"/>
      </w:pPr>
      <w:r>
        <w:t xml:space="preserve">12. Fase 8 — Estimación de asistencia diaria</w:t>
      </w:r>
    </w:p>
    <w:p>
      <w:pPr>
        <w:shd w:fill="EAF3DE" w:val="clear"/>
        <w:spacing w:after="200" w:before="100"/>
        <w:ind w:left="200" w:right="200"/>
      </w:pPr>
      <w:r>
        <w:rPr>
          <w:rFonts w:ascii="Consolas" w:cs="Consolas" w:eastAsia="Consolas" w:hAnsi="Consolas"/>
          <w:color w:val="085041"/>
          <w:sz w:val="20"/>
          <w:szCs w:val="20"/>
        </w:rPr>
        <w:t xml:space="preserve">Asistencia_día ≈ Aforo_instantáneo_promedio × (Duración_evento_día ÷ Tiempo_promedio_de_permanencia)</w:t>
      </w:r>
    </w:p>
    <w:p>
      <w:pPr>
        <w:spacing w:after="140"/>
      </w:pPr>
      <w:r>
        <w:t xml:space="preserve">El tiempo promedio de permanencia se obtiene mediante una encuesta breve de intercepción. Esta encuesta puede ser aplicada por personal distinto a quien opera el conteo de zonas; en ese caso, se registra el promedio reportado junto con el número de encuestas que representa, para ponderar correctamente al combinar información de distintos días.</w:t>
      </w:r>
    </w:p>
    <w:p>
      <w:pPr>
        <w:pStyle w:val="Heading1"/>
        <w:spacing w:after="160" w:before="320"/>
      </w:pPr>
      <w:r>
        <w:t xml:space="preserve">13. Fase 9 — Corrección de doble conteo entre días del evento</w:t>
      </w:r>
    </w:p>
    <w:p>
      <w:pPr>
        <w:shd w:fill="EAF3DE" w:val="clear"/>
        <w:spacing w:after="200" w:before="100"/>
        <w:ind w:left="200" w:right="200"/>
      </w:pPr>
      <w:r>
        <w:rPr>
          <w:rFonts w:ascii="Consolas" w:cs="Consolas" w:eastAsia="Consolas" w:hAnsi="Consolas"/>
          <w:color w:val="085041"/>
          <w:sz w:val="20"/>
          <w:szCs w:val="20"/>
        </w:rPr>
        <w:t xml:space="preserve">Asistentes_únicos_totales ≈ (Σ asistencia por día) ÷ (promedio ponderado de días asistidos por persona)</w:t>
      </w:r>
    </w:p>
    <w:p>
      <w:pPr>
        <w:spacing w:after="140"/>
      </w:pPr>
      <w:r>
        <w:t xml:space="preserve">El promedio de días asistidos se obtiene con una encuesta corta, aplicada con muestreo aleatorio en distintos días y horarios del evento. Al combinar los promedios reportados de distintos días, se pondera cada uno por el número de encuestas que representa.</w:t>
      </w:r>
    </w:p>
    <w:p>
      <w:pPr>
        <w:pStyle w:val="Heading1"/>
        <w:spacing w:after="160" w:before="320"/>
      </w:pPr>
      <w:r>
        <w:t xml:space="preserve">14. Herramientas de apoyo</w:t>
      </w:r>
    </w:p>
    <w:p>
      <w:pPr>
        <w:pStyle w:val="ListParagraph"/>
        <w:numPr>
          <w:ilvl w:val="0"/>
          <w:numId w:val="1"/>
        </w:numPr>
        <w:spacing w:after="80"/>
      </w:pPr>
      <w:r>
        <w:t xml:space="preserve">Herramienta de registro de campo: permite registrar zonas (incluyendo las 5 oficiales del festival), capturar fotografías por ronda, ajustar la cuadrícula digital sobre cada foto, obtener el conteo automático por celda con corrección manual disponible, calcular la media, el intervalo de confianza y su ensanche por sesgo del modelo, registrar datos de encuesta, y consultar el histórico y la curva de aforo del día. Opera sin conexión a internet una vez cargada.</w:t>
      </w:r>
    </w:p>
    <w:p>
      <w:pPr>
        <w:pStyle w:val="ListParagraph"/>
        <w:numPr>
          <w:ilvl w:val="0"/>
          <w:numId w:val="1"/>
        </w:numPr>
        <w:spacing w:after="80"/>
      </w:pPr>
      <w:r>
        <w:t xml:space="preserve">Herramienta de calibración: una herramienta independiente y más simple, usada antes del evento para comparar el conteo automático del modelo contra el conteo manual en varias fotos de prueba, y determinar el rango de sesgo a usar en la Fase 4b.</w:t>
      </w:r>
    </w:p>
    <w:p>
      <w:pPr>
        <w:pStyle w:val="Heading1"/>
        <w:spacing w:after="160" w:before="320"/>
      </w:pPr>
      <w:r>
        <w:t xml:space="preserve">15. Ejemplo aplicado</w:t>
      </w:r>
    </w:p>
    <w:p>
      <w:pPr>
        <w:spacing w:after="140"/>
      </w:pPr>
      <w:r>
        <w:t xml:space="preserve">Zona de Artesanías, unidad de muestra definida como una fila de 3 carpas; se determinó que 40 unidades de ese tamaño componen la zona completa.</w:t>
      </w:r>
    </w:p>
    <w:p>
      <w:pPr>
        <w:spacing w:after="140"/>
      </w:pPr>
      <w:r>
        <w:t xml:space="preserve">En una ronda se toma una fotografía de una porción de la zona, se ajusta la cuadrícula, y se seleccionan 4 celdas representativas. La herramienta cuenta automáticamente: 22, 27, 19 y 25 personas en cada celda.</w:t>
      </w:r>
    </w:p>
    <w:p>
      <w:pPr>
        <w:shd w:fill="EAF3DE" w:val="clear"/>
        <w:spacing w:after="200" w:before="100"/>
        <w:ind w:left="200" w:right="200"/>
      </w:pPr>
      <w:r>
        <w:rPr>
          <w:rFonts w:ascii="Consolas" w:cs="Consolas" w:eastAsia="Consolas" w:hAnsi="Consolas"/>
          <w:color w:val="085041"/>
          <w:sz w:val="20"/>
          <w:szCs w:val="20"/>
        </w:rPr>
        <w:t xml:space="preserve">Media = (22+27+19+25) ÷ 4 = 23,25</w:t>
      </w:r>
    </w:p>
    <w:p>
      <w:pPr>
        <w:shd w:fill="EAF3DE" w:val="clear"/>
        <w:spacing w:after="200" w:before="100"/>
        <w:ind w:left="200" w:right="200"/>
      </w:pPr>
      <w:r>
        <w:rPr>
          <w:rFonts w:ascii="Consolas" w:cs="Consolas" w:eastAsia="Consolas" w:hAnsi="Consolas"/>
          <w:color w:val="085041"/>
          <w:sz w:val="20"/>
          <w:szCs w:val="20"/>
        </w:rPr>
        <w:t xml:space="preserve">Desviación estándar muestral (s) = 3,40</w:t>
      </w:r>
    </w:p>
    <w:p>
      <w:pPr>
        <w:shd w:fill="EAF3DE" w:val="clear"/>
        <w:spacing w:after="200" w:before="100"/>
        <w:ind w:left="200" w:right="200"/>
      </w:pPr>
      <w:r>
        <w:rPr>
          <w:rFonts w:ascii="Consolas" w:cs="Consolas" w:eastAsia="Consolas" w:hAnsi="Consolas"/>
          <w:color w:val="085041"/>
          <w:sz w:val="20"/>
          <w:szCs w:val="20"/>
        </w:rPr>
        <w:t xml:space="preserve">Margen = t(3) × (3,40 ÷ √4) = 3,182 × 1,70 = 5,41</w:t>
      </w:r>
    </w:p>
    <w:p>
      <w:pPr>
        <w:shd w:fill="EAF3DE" w:val="clear"/>
        <w:spacing w:after="200" w:before="100"/>
        <w:ind w:left="200" w:right="200"/>
      </w:pPr>
      <w:r>
        <w:rPr>
          <w:rFonts w:ascii="Consolas" w:cs="Consolas" w:eastAsia="Consolas" w:hAnsi="Consolas"/>
          <w:color w:val="085041"/>
          <w:sz w:val="20"/>
          <w:szCs w:val="20"/>
        </w:rPr>
        <w:t xml:space="preserve">Intervalo estadístico = 23,25 ± 5,41 = [17,84 , 28,66]</w:t>
      </w:r>
    </w:p>
    <w:p>
      <w:pPr>
        <w:shd w:fill="EAF3DE" w:val="clear"/>
        <w:spacing w:after="200" w:before="100"/>
        <w:ind w:left="200" w:right="200"/>
      </w:pPr>
      <w:r>
        <w:rPr>
          <w:rFonts w:ascii="Consolas" w:cs="Consolas" w:eastAsia="Consolas" w:hAnsi="Consolas"/>
          <w:color w:val="085041"/>
          <w:sz w:val="20"/>
          <w:szCs w:val="20"/>
        </w:rPr>
        <w:t xml:space="preserve">Total_zona (sin sesgo) = 23,25 × 40 = 930 — intervalo estadístico: [714 , 1.146]</w:t>
      </w:r>
    </w:p>
    <w:p>
      <w:pPr>
        <w:spacing w:after="140"/>
      </w:pPr>
      <w:r>
        <w:t xml:space="preserve">La calibración previa del modelo (Fase 4b) determinó un rango de sesgo de +8% a +22% (el modelo subestima entre esos porcentajes frente al conteo manual):</w:t>
      </w:r>
    </w:p>
    <w:p>
      <w:pPr>
        <w:shd w:fill="EAF3DE" w:val="clear"/>
        <w:spacing w:after="200" w:before="100"/>
        <w:ind w:left="200" w:right="200"/>
      </w:pPr>
      <w:r>
        <w:rPr>
          <w:rFonts w:ascii="Consolas" w:cs="Consolas" w:eastAsia="Consolas" w:hAnsi="Consolas"/>
          <w:color w:val="085041"/>
          <w:sz w:val="20"/>
          <w:szCs w:val="20"/>
        </w:rPr>
        <w:t xml:space="preserve">Límite_inferior_final = 714 × 1,08 = 771</w:t>
      </w:r>
    </w:p>
    <w:p>
      <w:pPr>
        <w:shd w:fill="EAF3DE" w:val="clear"/>
        <w:spacing w:after="200" w:before="100"/>
        <w:ind w:left="200" w:right="200"/>
      </w:pPr>
      <w:r>
        <w:rPr>
          <w:rFonts w:ascii="Consolas" w:cs="Consolas" w:eastAsia="Consolas" w:hAnsi="Consolas"/>
          <w:color w:val="085041"/>
          <w:sz w:val="20"/>
          <w:szCs w:val="20"/>
        </w:rPr>
        <w:t xml:space="preserve">Límite_superior_final = 1.146 × 1,22 = 1.398</w:t>
      </w:r>
    </w:p>
    <w:p>
      <w:pPr>
        <w:shd w:fill="EAF3DE" w:val="clear"/>
        <w:spacing w:after="200" w:before="100"/>
        <w:ind w:left="200" w:right="200"/>
      </w:pPr>
      <w:r>
        <w:rPr>
          <w:rFonts w:ascii="Consolas" w:cs="Consolas" w:eastAsia="Consolas" w:hAnsi="Consolas"/>
          <w:color w:val="085041"/>
          <w:sz w:val="20"/>
          <w:szCs w:val="20"/>
        </w:rPr>
        <w:t xml:space="preserve">Total_zona (final) ≈ 1.070 personas — rango final: [771 , 1.398]</w:t>
      </w:r>
    </w:p>
    <w:p>
      <w:pPr>
        <w:spacing w:after="140"/>
      </w:pPr>
      <w:r>
        <w:t xml:space="preserve">Sumando el resultado de todas las zonas de esa misma ronda se obtiene el aforo instantáneo total en ese momento. Repitiendo esto varias veces en el día se construye la curva del día, de la cual resultan, por ejemplo, un aforo pico de 45.000 personas y un aforo promedio de 32.000 personas.</w:t>
      </w:r>
    </w:p>
    <w:p>
      <w:pPr>
        <w:spacing w:after="140"/>
      </w:pPr>
      <w:r>
        <w:t xml:space="preserve">Con una encuesta que indica una permanencia promedio de 3,2 horas y una duración del evento de 10 horas ese día:</w:t>
      </w:r>
    </w:p>
    <w:p>
      <w:pPr>
        <w:shd w:fill="EAF3DE" w:val="clear"/>
        <w:spacing w:after="200" w:before="100"/>
        <w:ind w:left="200" w:right="200"/>
      </w:pPr>
      <w:r>
        <w:rPr>
          <w:rFonts w:ascii="Consolas" w:cs="Consolas" w:eastAsia="Consolas" w:hAnsi="Consolas"/>
          <w:color w:val="085041"/>
          <w:sz w:val="20"/>
          <w:szCs w:val="20"/>
        </w:rPr>
        <w:t xml:space="preserve">Asistencia_día ≈ 32.000 × (10 ÷ 3,2) ≈ 100.000 personas</w:t>
      </w:r>
    </w:p>
    <w:p>
      <w:pPr>
        <w:spacing w:after="140"/>
      </w:pPr>
      <w:r>
        <w:t xml:space="preserve">Repitiendo esta estimación en cada día del evento, y con una encuesta que indica que, en promedio, cada persona asistió a 1,8 de esos días:</w:t>
      </w:r>
    </w:p>
    <w:p>
      <w:pPr>
        <w:shd w:fill="EAF3DE" w:val="clear"/>
        <w:spacing w:after="200" w:before="100"/>
        <w:ind w:left="200" w:right="200"/>
      </w:pPr>
      <w:r>
        <w:rPr>
          <w:rFonts w:ascii="Consolas" w:cs="Consolas" w:eastAsia="Consolas" w:hAnsi="Consolas"/>
          <w:color w:val="085041"/>
          <w:sz w:val="20"/>
          <w:szCs w:val="20"/>
        </w:rPr>
        <w:t xml:space="preserve">Asistentes_únicos_totales ≈ (Σ asistencia diaria) ÷ 1,8</w:t>
      </w:r>
    </w:p>
    <w:p>
      <w:pPr>
        <w:pStyle w:val="Heading1"/>
        <w:spacing w:after="160" w:before="320"/>
      </w:pPr>
      <w:r>
        <w:t xml:space="preserve">16. Comparabilidad histórica y recomendación</w:t>
      </w:r>
    </w:p>
    <w:p>
      <w:pPr>
        <w:spacing w:after="140"/>
      </w:pPr>
      <w:r>
        <w:t xml:space="preserve">Como se señaló en la sección 1, esta metodología difiere de la utilizada en mediciones previas del festival, por lo que sus resultados no deben interpretarse como directamente comparables con series históricas anteriores sin este contexto. Se recomienda tratar los resultados de esta edición como el punto de partida de una nueva serie metodológica, documentada y reproducible, y mantener esta misma metodología en ediciones futuras para permitir comparaciones válidas hacia adelante.</w:t>
      </w:r>
    </w:p>
    <w:p>
      <w:pPr>
        <w:pStyle w:val="Heading1"/>
        <w:spacing w:after="160" w:before="320"/>
      </w:pPr>
      <w:r>
        <w:t xml:space="preserve">17. Limitaciones y transparencia metodológica</w:t>
      </w:r>
    </w:p>
    <w:p>
      <w:pPr>
        <w:pStyle w:val="ListParagraph"/>
        <w:numPr>
          <w:ilvl w:val="0"/>
          <w:numId w:val="1"/>
        </w:numPr>
        <w:spacing w:after="80"/>
      </w:pPr>
      <w:r>
        <w:t xml:space="preserve">El tamaño real de cada celda de la cuadrícula, respecto a la unidad de muestra definida, se calibra visualmente por el observador; no hay una correspondencia geométrica exacta garantizada por perspectiva de la fotografía. Las celdas más cercanas a la cámara representan un área real menor que las celdas más lejanas, aunque se vean del mismo tamaño en la imagen. Se mitiga fotografiando desde el mayor ángulo posible hacia abajo, y prefiriendo muestras dentro de una misma fila de la cuadrícula (distancia comparable a la cámara) en vez de combinar filas cercanas y lejanas. Esta imprecisión, en la medida en que persista, queda reflejada honestamente en el intervalo de confianza calculado a partir de la variabilidad entre muestras (Fase 5), en lugar de producir una cifra puntual con falsa precisión.</w:t>
      </w:r>
    </w:p>
    <w:p>
      <w:pPr>
        <w:pStyle w:val="ListParagraph"/>
        <w:numPr>
          <w:ilvl w:val="0"/>
          <w:numId w:val="1"/>
        </w:numPr>
        <w:spacing w:after="80"/>
      </w:pPr>
      <w:r>
        <w:t xml:space="preserve">El conteo automático usa un modelo afinado sobre un dataset de multitudes (CrowdHuman), pero su desempeño en el tipo de escena específico de este evento (iluminación nocturna, ángulos) solo se conoce a través de la calibración propia documentada en la Fase 4b, no de una garantía externa.</w:t>
      </w:r>
    </w:p>
    <w:p>
      <w:pPr>
        <w:pStyle w:val="ListParagraph"/>
        <w:numPr>
          <w:ilvl w:val="0"/>
          <w:numId w:val="1"/>
        </w:numPr>
        <w:spacing w:after="80"/>
      </w:pPr>
      <w:r>
        <w:t xml:space="preserve">El número de unidades por zona (Fase 2) es un conteo o medición de campo, con margen de error propio, no una medición topográfica de precisión.</w:t>
      </w:r>
    </w:p>
    <w:p>
      <w:pPr>
        <w:pStyle w:val="ListParagraph"/>
        <w:numPr>
          <w:ilvl w:val="0"/>
          <w:numId w:val="1"/>
        </w:numPr>
        <w:spacing w:after="80"/>
      </w:pPr>
      <w:r>
        <w:t xml:space="preserve">La estimación de asistencia diaria y total depende de encuestas muestrales; su margen de error depende del tamaño y aleatoriedad de la muestra efectivamente lograda.</w:t>
      </w:r>
    </w:p>
    <w:p>
      <w:pPr>
        <w:pStyle w:val="ListParagraph"/>
        <w:numPr>
          <w:ilvl w:val="0"/>
          <w:numId w:val="1"/>
        </w:numPr>
        <w:spacing w:after="80"/>
      </w:pPr>
      <w:r>
        <w:t xml:space="preserve">La consistencia entre rondas (mismo tipo de encuadre y calibración de cuadrícula) es más importante para la validez del método que la exactitud absoluta de cada medición individual.</w:t>
      </w:r>
    </w:p>
    <w:p>
      <w:pPr>
        <w:pStyle w:val="ListParagraph"/>
        <w:numPr>
          <w:ilvl w:val="0"/>
          <w:numId w:val="1"/>
        </w:numPr>
        <w:spacing w:after="80"/>
      </w:pPr>
      <w:r>
        <w:t xml:space="preserve">Esta metodología difiere de la utilizada en mediciones previas del evento; ver la sección 16 para el contexto de esa diferencia y su implicación en la comparabilidad de series históricas.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2026-08-03T01:20:15.387Z</dcterms:created>
  <dcterms:modified xsi:type="dcterms:W3CDTF">2026-08-03T01:20:15.414Z</dcterms:modified>
</cp:coreProperties>
</file>

<file path=docProps/custom.xml><?xml version="1.0" encoding="utf-8"?>
<Properties xmlns="http://schemas.openxmlformats.org/officeDocument/2006/custom-properties" xmlns:vt="http://schemas.openxmlformats.org/officeDocument/2006/docPropsVTypes"/>
</file>