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D94" w:rsidRPr="00E20D94" w:rsidRDefault="00952A24" w:rsidP="00952A24">
      <w:pPr>
        <w:spacing w:after="0" w:line="240" w:lineRule="auto"/>
        <w:jc w:val="center"/>
        <w:rPr>
          <w:rFonts w:ascii="Arial" w:eastAsia="Times New Roman" w:hAnsi="Arial" w:cs="Arial"/>
          <w:sz w:val="32"/>
          <w:szCs w:val="24"/>
          <w:lang w:eastAsia="es-VE"/>
        </w:rPr>
      </w:pPr>
      <w:r w:rsidRPr="00952A24">
        <w:rPr>
          <w:rFonts w:ascii="Arial" w:eastAsia="Times New Roman" w:hAnsi="Arial" w:cs="Arial"/>
          <w:sz w:val="32"/>
          <w:szCs w:val="24"/>
          <w:lang w:eastAsia="es-VE"/>
        </w:rPr>
        <w:t>E</w:t>
      </w:r>
      <w:r w:rsidR="00E20D94" w:rsidRPr="00E20D94">
        <w:rPr>
          <w:rFonts w:ascii="Arial" w:eastAsia="Times New Roman" w:hAnsi="Arial" w:cs="Arial"/>
          <w:sz w:val="32"/>
          <w:szCs w:val="24"/>
          <w:lang w:eastAsia="es-VE"/>
        </w:rPr>
        <w:t>strategias</w:t>
      </w:r>
      <w:r w:rsidRPr="00952A24">
        <w:rPr>
          <w:rFonts w:ascii="Arial" w:eastAsia="Times New Roman" w:hAnsi="Arial" w:cs="Arial"/>
          <w:sz w:val="32"/>
          <w:szCs w:val="24"/>
          <w:lang w:eastAsia="es-VE"/>
        </w:rPr>
        <w:t xml:space="preserve"> de compra, arbitraje y ahorro.</w:t>
      </w:r>
    </w:p>
    <w:p w:rsidR="00E20D94" w:rsidRPr="00E20D94" w:rsidRDefault="00E20D94" w:rsidP="009027D6">
      <w:pPr>
        <w:spacing w:after="0" w:line="240" w:lineRule="auto"/>
        <w:rPr>
          <w:rFonts w:ascii="Times New Roman" w:eastAsia="Times New Roman" w:hAnsi="Times New Roman" w:cs="Times New Roman"/>
          <w:szCs w:val="24"/>
          <w:lang w:eastAsia="es-VE"/>
        </w:rPr>
      </w:pPr>
      <w:r w:rsidRPr="00E20D94">
        <w:rPr>
          <w:rFonts w:ascii="Times New Roman" w:eastAsia="Times New Roman" w:hAnsi="Times New Roman" w:cs="Times New Roman"/>
          <w:szCs w:val="24"/>
          <w:lang w:eastAsia="es-VE"/>
        </w:rPr>
        <w:pict>
          <v:rect id="_x0000_i1025" style="width:0;height:1.5pt" o:hralign="center" o:hrstd="t" o:hr="t" fillcolor="gray" stroked="f"/>
        </w:pict>
      </w:r>
    </w:p>
    <w:p w:rsidR="00952A24" w:rsidRPr="00952A24" w:rsidRDefault="00952A24" w:rsidP="00952A24">
      <w:pPr>
        <w:spacing w:after="0" w:line="240" w:lineRule="auto"/>
        <w:rPr>
          <w:rFonts w:ascii="Arial" w:eastAsia="Times New Roman" w:hAnsi="Arial" w:cs="Arial"/>
          <w:b/>
          <w:bCs/>
          <w:szCs w:val="30"/>
          <w:lang w:eastAsia="es-VE"/>
        </w:rPr>
      </w:pPr>
    </w:p>
    <w:p w:rsidR="00E20D94" w:rsidRPr="009027D6" w:rsidRDefault="00E20D94" w:rsidP="00E20D94">
      <w:pPr>
        <w:spacing w:after="480" w:line="240" w:lineRule="auto"/>
        <w:rPr>
          <w:rFonts w:ascii="Arial" w:eastAsia="Times New Roman" w:hAnsi="Arial" w:cs="Arial"/>
          <w:b/>
          <w:bCs/>
          <w:sz w:val="28"/>
          <w:szCs w:val="30"/>
          <w:lang w:eastAsia="es-VE"/>
        </w:rPr>
      </w:pPr>
      <w:r w:rsidRPr="00E20D94">
        <w:rPr>
          <w:rFonts w:ascii="Arial" w:eastAsia="Times New Roman" w:hAnsi="Arial" w:cs="Arial"/>
          <w:b/>
          <w:bCs/>
          <w:sz w:val="28"/>
          <w:szCs w:val="30"/>
          <w:lang w:eastAsia="es-VE"/>
        </w:rPr>
        <w:t xml:space="preserve">Tabla Resumen de Estrategias y Técnicas </w:t>
      </w:r>
      <w:r w:rsidR="00952A24">
        <w:rPr>
          <w:rFonts w:ascii="Arial" w:eastAsia="Times New Roman" w:hAnsi="Arial" w:cs="Arial"/>
          <w:b/>
          <w:bCs/>
          <w:sz w:val="28"/>
          <w:szCs w:val="30"/>
          <w:lang w:eastAsia="es-VE"/>
        </w:rPr>
        <w:t>del CLIENTE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1155"/>
        <w:gridCol w:w="2227"/>
        <w:gridCol w:w="5816"/>
      </w:tblGrid>
      <w:tr w:rsidR="00E20D94" w:rsidRPr="00E20D94" w:rsidTr="009027D6">
        <w:trPr>
          <w:tblHeader/>
        </w:trPr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Actor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Nombre de la Técnica</w:t>
            </w:r>
          </w:p>
        </w:tc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Descripción Breve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Scalping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Comprar masivamente un producto de stock limitado para provocar escasez y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revenderlo más caro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de inmediato [1].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</w:t>
            </w: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Retail</w:t>
            </w:r>
            <w:proofErr w:type="spellEnd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 xml:space="preserve"> </w:t>
            </w: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Arbitrage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Aprovechar las diferencias de precio comprando barato en un supermercado físico para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revenderlo con margen en plataformas en línea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>.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</w:t>
            </w: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Hedging</w:t>
            </w:r>
            <w:proofErr w:type="spellEnd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 xml:space="preserve"> (Cobertura)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Comprar grandes volúmenes de productos no perecederos al precio actual para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proteger el presupuesto familiar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de futuras subidas de precios o inflación.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</w:t>
            </w: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Precio de Liquidación Oculto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Escanear productos con la </w:t>
            </w:r>
            <w:proofErr w:type="spellStart"/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>app</w:t>
            </w:r>
            <w:proofErr w:type="spellEnd"/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del supermercado para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hallar descuentos drásticos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aplicados en el sistema pero que aún no se reflejan en la etiqueta física.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</w:t>
            </w: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Coupon</w:t>
            </w:r>
            <w:proofErr w:type="spellEnd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 xml:space="preserve"> </w:t>
            </w: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Stacking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Combinar múltiples tipos de descuentos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(fabricante, tienda y fidelidad) en una sola compra para reducir el precio del artículo a centavos.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</w:t>
            </w: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Monitoreo de SKU (</w:t>
            </w: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BrickSeek</w:t>
            </w:r>
            <w:proofErr w:type="spellEnd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Utilizar plataformas externas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para rastrear los números de inventario de los almacenes y saber con precisión qué sucursal tiene stock en liquidación.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Price Match (Garantía de Precio)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Solicitar el reembolso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de la diferencia de dinero si el producto comprado baja de precio o está más barato en la competencia en un plazo determinado.</w:t>
            </w:r>
          </w:p>
        </w:tc>
      </w:tr>
      <w:tr w:rsidR="00E20D94" w:rsidRPr="00E20D94" w:rsidTr="009027D6">
        <w:tc>
          <w:tcPr>
            <w:tcW w:w="0" w:type="auto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Cliente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Inversión en Cadena de Frío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CA1C0F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Comprar alimentos perecederos clave en su precio más bajo y congelarlos al vacío para extender su vida útil un año,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esquivando la inflación estacional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>.</w:t>
            </w:r>
          </w:p>
        </w:tc>
      </w:tr>
    </w:tbl>
    <w:p w:rsidR="009027D6" w:rsidRDefault="009027D6" w:rsidP="00E20D94">
      <w:pPr>
        <w:spacing w:before="480" w:after="480" w:line="240" w:lineRule="auto"/>
        <w:rPr>
          <w:sz w:val="20"/>
        </w:rPr>
      </w:pPr>
    </w:p>
    <w:p w:rsidR="00E20D94" w:rsidRPr="009027D6" w:rsidRDefault="009027D6" w:rsidP="009027D6">
      <w:pPr>
        <w:spacing w:after="480" w:line="240" w:lineRule="auto"/>
        <w:rPr>
          <w:rFonts w:ascii="Arial" w:eastAsia="Times New Roman" w:hAnsi="Arial" w:cs="Arial"/>
          <w:b/>
          <w:bCs/>
          <w:sz w:val="28"/>
          <w:szCs w:val="30"/>
          <w:lang w:eastAsia="es-VE"/>
        </w:rPr>
      </w:pPr>
      <w:r>
        <w:rPr>
          <w:sz w:val="20"/>
        </w:rPr>
        <w:br w:type="page"/>
      </w:r>
      <w:r w:rsidR="00E20D94" w:rsidRPr="009027D6">
        <w:rPr>
          <w:rFonts w:ascii="Arial" w:eastAsia="Times New Roman" w:hAnsi="Arial" w:cs="Arial"/>
          <w:b/>
          <w:bCs/>
          <w:sz w:val="28"/>
          <w:szCs w:val="30"/>
          <w:lang w:eastAsia="es-VE"/>
        </w:rPr>
        <w:lastRenderedPageBreak/>
        <w:t>Tabla Resum</w:t>
      </w:r>
      <w:r w:rsidR="00952A24">
        <w:rPr>
          <w:rFonts w:ascii="Arial" w:eastAsia="Times New Roman" w:hAnsi="Arial" w:cs="Arial"/>
          <w:b/>
          <w:bCs/>
          <w:sz w:val="28"/>
          <w:szCs w:val="30"/>
          <w:lang w:eastAsia="es-VE"/>
        </w:rPr>
        <w:t>en de Estrategias y Técnicas d</w:t>
      </w:r>
      <w:r w:rsidR="00E20D94" w:rsidRPr="009027D6">
        <w:rPr>
          <w:rFonts w:ascii="Arial" w:eastAsia="Times New Roman" w:hAnsi="Arial" w:cs="Arial"/>
          <w:b/>
          <w:bCs/>
          <w:sz w:val="28"/>
          <w:szCs w:val="30"/>
          <w:lang w:eastAsia="es-VE"/>
        </w:rPr>
        <w:t xml:space="preserve">el </w:t>
      </w:r>
      <w:r w:rsidR="00952A24">
        <w:rPr>
          <w:rFonts w:ascii="Arial" w:eastAsia="Times New Roman" w:hAnsi="Arial" w:cs="Arial"/>
          <w:b/>
          <w:bCs/>
          <w:sz w:val="28"/>
          <w:szCs w:val="30"/>
          <w:lang w:eastAsia="es-VE"/>
        </w:rPr>
        <w:t>SUPERMERCADO</w:t>
      </w:r>
    </w:p>
    <w:p w:rsidR="00E20D94" w:rsidRPr="009027D6" w:rsidRDefault="00E20D94" w:rsidP="00E20D94">
      <w:pPr>
        <w:spacing w:before="480" w:after="480" w:line="240" w:lineRule="auto"/>
        <w:rPr>
          <w:rFonts w:ascii="Arial" w:eastAsia="Times New Roman" w:hAnsi="Arial" w:cs="Arial"/>
          <w:b/>
          <w:bCs/>
          <w:sz w:val="28"/>
          <w:szCs w:val="30"/>
          <w:lang w:eastAsia="es-V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/>
      </w:tblPr>
      <w:tblGrid>
        <w:gridCol w:w="1902"/>
        <w:gridCol w:w="2276"/>
        <w:gridCol w:w="5020"/>
      </w:tblGrid>
      <w:tr w:rsidR="00E20D94" w:rsidRPr="00E20D94" w:rsidTr="009027D6">
        <w:trPr>
          <w:tblHeader/>
        </w:trPr>
        <w:tc>
          <w:tcPr>
            <w:tcW w:w="0" w:type="auto"/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Actor</w:t>
            </w:r>
          </w:p>
        </w:tc>
        <w:tc>
          <w:tcPr>
            <w:tcW w:w="1237" w:type="pct"/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Nombre de la Técnica</w:t>
            </w:r>
          </w:p>
        </w:tc>
        <w:tc>
          <w:tcPr>
            <w:tcW w:w="2729" w:type="pct"/>
            <w:shd w:val="clear" w:color="auto" w:fill="BFBFBF" w:themeFill="background1" w:themeFillShade="BF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Descripción Breve</w:t>
            </w:r>
          </w:p>
        </w:tc>
      </w:tr>
      <w:tr w:rsidR="00E20D94" w:rsidRPr="00E20D94" w:rsidTr="009027D6">
        <w:tc>
          <w:tcPr>
            <w:tcW w:w="0" w:type="auto"/>
            <w:shd w:val="clear" w:color="auto" w:fill="FAFAFA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Supermercado</w:t>
            </w:r>
          </w:p>
        </w:tc>
        <w:tc>
          <w:tcPr>
            <w:tcW w:w="1237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Racionamiento Automatizado</w:t>
            </w:r>
          </w:p>
        </w:tc>
        <w:tc>
          <w:tcPr>
            <w:tcW w:w="2729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Programar las cajas registradoras para bloquear o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limitar el número de unidades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de una oferta que puede llevarse un solo cliente.</w:t>
            </w:r>
          </w:p>
        </w:tc>
      </w:tr>
      <w:tr w:rsidR="00E20D94" w:rsidRPr="00E20D94" w:rsidTr="009027D6">
        <w:tc>
          <w:tcPr>
            <w:tcW w:w="0" w:type="auto"/>
            <w:shd w:val="clear" w:color="auto" w:fill="FAFAFA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Supermercado</w:t>
            </w:r>
          </w:p>
        </w:tc>
        <w:tc>
          <w:tcPr>
            <w:tcW w:w="1237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Vinculación a Tarjetas de Socio</w:t>
            </w:r>
          </w:p>
        </w:tc>
        <w:tc>
          <w:tcPr>
            <w:tcW w:w="2729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Condicionar las mejores ofertas al uso de una tarjeta de fidelidad para monitorear el comportamiento de compra y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frenar transacciones mayoristas.</w:t>
            </w:r>
          </w:p>
        </w:tc>
      </w:tr>
      <w:tr w:rsidR="00E20D94" w:rsidRPr="00E20D94" w:rsidTr="009027D6">
        <w:tc>
          <w:tcPr>
            <w:tcW w:w="0" w:type="auto"/>
            <w:shd w:val="clear" w:color="auto" w:fill="FAFAFA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Supermercado</w:t>
            </w:r>
          </w:p>
        </w:tc>
        <w:tc>
          <w:tcPr>
            <w:tcW w:w="1237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Precios Escalonados</w:t>
            </w:r>
          </w:p>
        </w:tc>
        <w:tc>
          <w:tcPr>
            <w:tcW w:w="2729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Ofrecer un gran descuento en las primeras unidades de un producto, pero duplicar o triplicar el costo a partir de la cuarta unidad para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desincentivar al revendedor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>.</w:t>
            </w:r>
          </w:p>
        </w:tc>
      </w:tr>
      <w:tr w:rsidR="00E20D94" w:rsidRPr="00E20D94" w:rsidTr="009027D6">
        <w:tc>
          <w:tcPr>
            <w:tcW w:w="0" w:type="auto"/>
            <w:shd w:val="clear" w:color="auto" w:fill="FAFAFA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Supermercado</w:t>
            </w:r>
          </w:p>
        </w:tc>
        <w:tc>
          <w:tcPr>
            <w:tcW w:w="1237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La Trampa del Límite Exclusivo</w:t>
            </w:r>
          </w:p>
        </w:tc>
        <w:tc>
          <w:tcPr>
            <w:tcW w:w="2729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Colocar carteles de "máximo X unidades por persona" en productos con stock normal para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activar el sesgo de escasez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y forzar a la gente a comprar más.</w:t>
            </w:r>
          </w:p>
        </w:tc>
      </w:tr>
      <w:tr w:rsidR="00E20D94" w:rsidRPr="00E20D94" w:rsidTr="009027D6">
        <w:tc>
          <w:tcPr>
            <w:tcW w:w="0" w:type="auto"/>
            <w:shd w:val="clear" w:color="auto" w:fill="FAFAFA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Supermercado</w:t>
            </w:r>
          </w:p>
        </w:tc>
        <w:tc>
          <w:tcPr>
            <w:tcW w:w="1237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proofErr w:type="spellStart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Reset</w:t>
            </w:r>
            <w:proofErr w:type="spellEnd"/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 xml:space="preserve"> de Tienda</w:t>
            </w:r>
          </w:p>
        </w:tc>
        <w:tc>
          <w:tcPr>
            <w:tcW w:w="2729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Cambiar los productos básicos de pasillo periódicamente para romper la memoria muscular del cliente y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obligarlo a recorrer nuevas góndolas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>, promoviendo la compra impulsiva.</w:t>
            </w:r>
          </w:p>
        </w:tc>
      </w:tr>
      <w:tr w:rsidR="00E20D94" w:rsidRPr="00E20D94" w:rsidTr="009027D6">
        <w:tc>
          <w:tcPr>
            <w:tcW w:w="0" w:type="auto"/>
            <w:shd w:val="clear" w:color="auto" w:fill="FAFAFA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9027D6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Supermercado</w:t>
            </w:r>
          </w:p>
        </w:tc>
        <w:tc>
          <w:tcPr>
            <w:tcW w:w="1237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b/>
                <w:bCs/>
                <w:szCs w:val="24"/>
                <w:lang w:eastAsia="es-VE"/>
              </w:rPr>
              <w:t>Códigos Secretos en Céntimos</w:t>
            </w:r>
          </w:p>
        </w:tc>
        <w:tc>
          <w:tcPr>
            <w:tcW w:w="2729" w:type="pct"/>
            <w:shd w:val="clear" w:color="auto" w:fill="FAFAFA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="00E20D94" w:rsidRPr="00E20D94" w:rsidRDefault="00E20D94" w:rsidP="00E20D94">
            <w:pPr>
              <w:spacing w:after="0" w:line="240" w:lineRule="auto"/>
              <w:rPr>
                <w:rFonts w:ascii="Arial" w:eastAsia="Times New Roman" w:hAnsi="Arial" w:cs="Arial"/>
                <w:szCs w:val="24"/>
                <w:lang w:eastAsia="es-VE"/>
              </w:rPr>
            </w:pP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Utilizar terminaciones específicas en los centavos del precio (como .97 o .88) para </w:t>
            </w:r>
            <w:r w:rsidRPr="00E20D94">
              <w:rPr>
                <w:rFonts w:ascii="Arial" w:eastAsia="Times New Roman" w:hAnsi="Arial" w:cs="Arial"/>
                <w:color w:val="C00000"/>
                <w:szCs w:val="24"/>
                <w:lang w:eastAsia="es-VE"/>
              </w:rPr>
              <w:t>comunicar de forma interna</w:t>
            </w:r>
            <w:r w:rsidRPr="00E20D94">
              <w:rPr>
                <w:rFonts w:ascii="Arial" w:eastAsia="Times New Roman" w:hAnsi="Arial" w:cs="Arial"/>
                <w:szCs w:val="24"/>
                <w:lang w:eastAsia="es-VE"/>
              </w:rPr>
              <w:t xml:space="preserve"> a los empleados si el producto es de liquidación final.</w:t>
            </w:r>
          </w:p>
        </w:tc>
      </w:tr>
    </w:tbl>
    <w:p w:rsidR="00E20D94" w:rsidRPr="009027D6" w:rsidRDefault="00E20D94" w:rsidP="00E20D94">
      <w:pPr>
        <w:spacing w:after="0" w:line="240" w:lineRule="auto"/>
        <w:rPr>
          <w:rFonts w:ascii="Arial" w:eastAsia="Times New Roman" w:hAnsi="Arial" w:cs="Arial"/>
          <w:b/>
          <w:bCs/>
          <w:sz w:val="28"/>
          <w:szCs w:val="30"/>
          <w:lang w:eastAsia="es-VE"/>
        </w:rPr>
      </w:pPr>
    </w:p>
    <w:sectPr w:rsidR="00E20D94" w:rsidRPr="009027D6" w:rsidSect="006F46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20D94"/>
    <w:rsid w:val="006F46AE"/>
    <w:rsid w:val="009027D6"/>
    <w:rsid w:val="00952A24"/>
    <w:rsid w:val="00D3644D"/>
    <w:rsid w:val="00E20D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6A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20D94"/>
    <w:rPr>
      <w:b/>
      <w:bCs/>
    </w:rPr>
  </w:style>
  <w:style w:type="character" w:customStyle="1" w:styleId="state-name">
    <w:name w:val="state-name"/>
    <w:basedOn w:val="Fuentedeprrafopredeter"/>
    <w:rsid w:val="00E20D94"/>
  </w:style>
  <w:style w:type="character" w:customStyle="1" w:styleId="state-emoji">
    <w:name w:val="state-emoji"/>
    <w:basedOn w:val="Fuentedeprrafopredeter"/>
    <w:rsid w:val="00E20D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48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5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1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59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65174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6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28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1226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6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52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3762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781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2</Pages>
  <Words>434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3</cp:revision>
  <dcterms:created xsi:type="dcterms:W3CDTF">2026-08-25T03:57:00Z</dcterms:created>
  <dcterms:modified xsi:type="dcterms:W3CDTF">2026-08-25T13:05:00Z</dcterms:modified>
</cp:coreProperties>
</file>