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8A8" w:rsidRDefault="005A661F">
      <w:r>
        <w:rPr>
          <w:rFonts w:ascii="Arial" w:hAnsi="Arial" w:cs="Arial"/>
          <w:color w:val="222222"/>
          <w:shd w:val="clear" w:color="auto" w:fill="FFFFFF"/>
        </w:rPr>
        <w:t>Dentro del proyecto de la creación del Museo Binacional, Museo sin Fronteras y IFSUL realizan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exposición</w:t>
      </w:r>
      <w:r>
        <w:rPr>
          <w:rFonts w:ascii="Arial" w:hAnsi="Arial" w:cs="Arial"/>
          <w:color w:val="222222"/>
          <w:shd w:val="clear" w:color="auto" w:fill="FFFFFF"/>
        </w:rPr>
        <w:t> sobre esclavitud en la semana de la conciencia negra. </w:t>
      </w:r>
    </w:p>
    <w:sectPr w:rsidR="009E38A8" w:rsidSect="009E3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A661F"/>
    <w:rsid w:val="005A661F"/>
    <w:rsid w:val="009E3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8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5A66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2019-03-19T23:39:00Z</dcterms:created>
  <dcterms:modified xsi:type="dcterms:W3CDTF">2019-03-19T23:40:00Z</dcterms:modified>
</cp:coreProperties>
</file>