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Котлярчук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5.9</m:t>
        </m:r>
        <m:r>
          <m:t>x</m:t>
        </m:r>
        <m:r>
          <m:rPr>
            <m:sty m:val="p"/>
          </m:rPr>
          <m:t>=</m:t>
        </m:r>
        <m:r>
          <m:t>9.9</m:t>
        </m:r>
        <m:r>
          <m:rPr>
            <m:nor/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49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Два дифференциальных уравнения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w=9;</w:t>
      </w:r>
      <w:r>
        <w:br/>
      </w:r>
      <w:r>
        <w:rPr>
          <w:rStyle w:val="VerbatimChar"/>
        </w:rPr>
        <w:t xml:space="preserve">  Real x(start=-0.5);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3229594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20393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Два дифференциальных уравнения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w=4.9;</w:t>
      </w:r>
      <w:r>
        <w:br/>
      </w:r>
      <w:r>
        <w:rPr>
          <w:rStyle w:val="VerbatimChar"/>
        </w:rPr>
        <w:t xml:space="preserve">  parameter  Real g=1;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x(start=-0.5);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4894729" cy="3957277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395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05032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w=5.9;</w:t>
      </w:r>
      <w:r>
        <w:br/>
      </w:r>
      <w:r>
        <w:rPr>
          <w:rStyle w:val="VerbatimChar"/>
        </w:rPr>
        <w:t xml:space="preserve">  parameter  Real g=1;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x(start=-0.5);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+ 9.9*sin(1*time);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3202863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31492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опросы"/>
    <w:p>
      <w:pPr>
        <w:pStyle w:val="Heading1"/>
      </w:pPr>
      <w:r>
        <w:t xml:space="preserve">Вопросы</w:t>
      </w:r>
    </w:p>
    <w:p>
      <w:pPr>
        <w:numPr>
          <w:ilvl w:val="0"/>
          <w:numId w:val="1006"/>
        </w:numPr>
        <w:pStyle w:val="Compact"/>
      </w:pP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ω</m:t>
        </m:r>
        <m:r>
          <m:t>t</m:t>
        </m:r>
        <m:r>
          <m:rPr>
            <m:sty m:val="p"/>
          </m:rPr>
          <m:t>+</m:t>
        </m:r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Осциллятор - модель, совершающая свободные колебания</w:t>
      </w:r>
    </w:p>
    <w:p>
      <w:pPr>
        <w:numPr>
          <w:ilvl w:val="0"/>
          <w:numId w:val="1006"/>
        </w:numPr>
        <w:pStyle w:val="Compact"/>
      </w:pPr>
      <w:r>
        <w:t xml:space="preserve">Запишите модель математического маятника</w:t>
      </w:r>
    </w:p>
    <w:p>
      <w:pPr>
        <w:numPr>
          <w:ilvl w:val="0"/>
          <w:numId w:val="1006"/>
        </w:numPr>
        <w:pStyle w:val="Compact"/>
      </w:pPr>
      <w:r>
        <w:t xml:space="preserve">Запишите алгоритм перехода от дифференциального уравнения второго порядкак двум дифференциальным уравнениям первого порядка</w:t>
      </w:r>
    </w:p>
    <w:p>
      <w:pPr>
        <w:numPr>
          <w:ilvl w:val="0"/>
          <w:numId w:val="1006"/>
        </w:numPr>
        <w:pStyle w:val="Compact"/>
      </w:pPr>
      <w:r>
        <w:t xml:space="preserve">Фазовый портрет - картина, образованная набором фазовых траекторий; фазовая траектория -гладкая кривая в фазовой плоскости, которая отвечает решению уравнения движения как функции времени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Котлярчук Екатерина НПИбд-01-19</dc:creator>
  <dc:language>ru-RU</dc:language>
  <cp:keywords/>
  <dcterms:created xsi:type="dcterms:W3CDTF">2022-03-05T15:29:15Z</dcterms:created>
  <dcterms:modified xsi:type="dcterms:W3CDTF">2022-03-05T15:29:15Z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