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Аналитическая справка дежурной смены — 2026-07-20</w:t>
      </w:r>
    </w:p>
    <w:p>
      <w:pPr>
        <w:pStyle w:val="Heading1"/>
      </w:pPr>
      <w:r>
        <w:t xml:space="preserve">Аналитическая справка дежурной смены — ЧЕРНОВИК</w:t>
      </w:r>
    </w:p>
    <w:p>
      <w:r>
        <w:t xml:space="preserve">Дата формирования: 2026-07-20</w:t>
      </w:r>
    </w:p>
    <w:p>
      <w:r>
        <w:t xml:space="preserve">Сформировано автономным агентом agenda_briefing_agent; требует верификации аналитиком.</w:t>
      </w:r>
    </w:p>
    <w:p>
      <w:pPr>
        <w:pStyle w:val="Heading2"/>
      </w:pPr>
      <w:r>
        <w:t xml:space="preserve">1. Базовый блок (обязательные показатели)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4500" w:type="dxa"/>
          </w:tcPr>
          <w:p>
            <w:r>
              <w:rPr>
                <w:b/>
              </w:rPr>
              <w:t xml:space="preserve">Показатель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4500" w:type="dxa"/>
          </w:tcPr>
          <w:p>
            <w:r>
              <w:t xml:space="preserve">Клиентопоток, млн. человек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Динамика клиентопотока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Прогнозное значение клиентопотока (с точным значением клиентопотока в разрезе дней)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Остаток наличности, млрд. руб.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Динамика остатка наличности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Прогноз остатка наличности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Выдача в УС, млрд. руб.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Динамика выдачи УС, млрд. руб.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Прогноз выдачи в УС, млрд. руб.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Коэффициент технической доступности, %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Общее количество инцидентов безопасности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значимых инцидентов безопасности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инцидентов, связанных с социальной инженерией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Общее количество инцидентов СВО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инцидентов СВО, повлиявших на непрерывность деятельности Банка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регионов, в которых зафиксированы инциденты СВО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БПЛА самолётного типа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БПЛА мультироторного типа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ракетных ударов и ракет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обстрелов (артиллерийскихя/минометных/РСЗО)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авиабомб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безэкипажных катеров (БЭК)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малоразмерных воздушных шаров (МВШ)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инцидентов, связанных с аварийной посадкой воздушного судна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авиаударов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с инцидентов, связанных с вооруженным нападением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инцидентов, связанных с диверсией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инцидентов, связанны с падением вощдушного судна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подрывов на ВУ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инцидентов, связанных с проникновением ДРГ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инцидентов , связанных со сходом боеприпаса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Уровень интенсивности инцидентов СВО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Уровень влияния инцидентов СВО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План "Ковёр"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Общее количество объявления сигналов ГО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Информирование организаций-партнеров Банка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Общее количество IT-инцидентов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критичных IT-инцидентов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Инциденты кибербезопасности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DDoS-атаки на ресурсы Банка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DDoS-атаки на ресурсы ДЗО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Больничные листы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человек в приграничной зоне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Количество тяжелых случаев заболевания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Сотрудники на дистанционном режиме работе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Уровень заболеваемости в разрезе ГОСБ за 1 день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Уровень заболеваемости в разрезе ГОСБ за 2 недели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Природные инциденты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  <w:tr>
        <w:tc>
          <w:tcPr>
            <w:tcW w:w="4500" w:type="dxa"/>
          </w:tcPr>
          <w:p>
            <w:r>
              <w:t xml:space="preserve">Технологические инциденты</w:t>
            </w:r>
          </w:p>
        </w:tc>
        <w:tc>
          <w:tcPr>
            <w:tcW w:w="4500" w:type="dxa"/>
          </w:tcPr>
          <w:p>
            <w:r>
              <w:t xml:space="preserve">— нет данных —</w:t>
            </w:r>
          </w:p>
        </w:tc>
      </w:tr>
    </w:tbl>
    <w:p/>
    <w:p>
      <w:pPr>
        <w:pStyle w:val="Heading2"/>
      </w:pPr>
      <w:r>
        <w:t xml:space="preserve">2. Динамический блок (включён по наличию данных)</w:t>
      </w:r>
    </w:p>
    <w:p>
      <w:r>
        <w:t xml:space="preserve">Данных для динамического блока на 2026-07-20 не поступало.</w:t>
      </w:r>
    </w:p>
    <w:p>
      <w:pPr>
        <w:pStyle w:val="Heading2"/>
      </w:pPr>
      <w:r>
        <w:t xml:space="preserve">3. Сигналы для внимания аналитика</w:t>
      </w:r>
    </w:p>
    <w:p>
      <w:r>
        <w:t xml:space="preserve">Превышений порогов не зафиксировано.</w:t>
      </w:r>
    </w:p>
    <w:p>
      <w:pPr>
        <w:pStyle w:val="Heading2"/>
      </w:pPr>
      <w:r>
        <w:t xml:space="preserve">4. Мониторинг открытых источников</w:t>
      </w:r>
    </w:p>
    <w:p>
      <w:r>
        <w:t xml:space="preserve">Темы повестки: finance — 91, security_svo — 38, emergency — 15, cyber — 6</w:t>
      </w:r>
    </w:p>
    <w:p>
      <w:r>
        <w:rPr>
          <w:b/>
        </w:rPr>
        <w:t xml:space="preserve">Экстренные сигналы:</w:t>
      </w:r>
    </w:p>
    <w:p>
      <w:r>
        <w:t xml:space="preserve">•  </w:t>
      </w:r>
      <w:r>
        <w:rPr>
          <w:b/>
        </w:rPr>
        <w:t xml:space="preserve">[ТАСС]</w:t>
      </w:r>
      <w:r>
        <w:t xml:space="preserve"> СК завел дело о теракте после атаки ВСУ на пассажирский автобус в Шебекине — https://tass.ru/proisshestviya/27934539 (теракт)</w:t>
      </w:r>
    </w:p>
    <w:p>
      <w:r>
        <w:t xml:space="preserve">•  </w:t>
      </w:r>
      <w:r>
        <w:rPr>
          <w:b/>
        </w:rPr>
        <w:t xml:space="preserve">[Интерфакс]</w:t>
      </w:r>
      <w:r>
        <w:t xml:space="preserve"> Атаку украинского дрона на автобус в Белгородской области будут расследовать как теракт — https://www.interfax.ru/russia/1104398 (теракт)</w:t>
      </w:r>
    </w:p>
    <w:p>
      <w:r>
        <w:t xml:space="preserve">Последние релевантные публикации:</w:t>
      </w:r>
    </w:p>
    <w:p>
      <w:r>
        <w:t xml:space="preserve">•  [ТАСС] ВС РФ поразили стоянку с грузовиками в Днепропетровской области — https://tass.ru/armiya-i-opk/27934499</w:t>
      </w:r>
    </w:p>
    <w:p>
      <w:r>
        <w:t xml:space="preserve">•  [ТАСС] Начался прием заявок на федеральный этап конкурса муниципальных практик — https://tass.ru/obschestvo/27934473</w:t>
      </w:r>
    </w:p>
    <w:p>
      <w:r>
        <w:t xml:space="preserve">•  [ТАСС] ГД обсудит законопроект об обязательных уведомлениях о кредитах — https://tass.ru/obschestvo/27934449</w:t>
      </w:r>
    </w:p>
    <w:p>
      <w:r>
        <w:t xml:space="preserve">•  [ТАСС] В Ростовской области 12 машин столкнулись из-за пожара на пшеничном поле — https://tass.ru/proisshestviya/27934493</w:t>
      </w:r>
    </w:p>
    <w:p>
      <w:r>
        <w:t xml:space="preserve">•  [ТАСС] В Новосибирске жилые дома и спортивная арена остались без света — https://tass.ru/proisshestviya/27934475</w:t>
      </w:r>
    </w:p>
    <w:p>
      <w:r>
        <w:t xml:space="preserve">•  [ТАСС] Блогера Качура оштрафовали за нарушение правил иноагента — https://tass.ru/obschestvo/27934463</w:t>
      </w:r>
    </w:p>
    <w:p>
      <w:r>
        <w:t xml:space="preserve">•  [Интерфакс] Атаку украинского дрона на автобус в Белгородской области будут расследовать как теракт — https://www.interfax.ru/russia/1104398</w:t>
      </w:r>
    </w:p>
    <w:p>
      <w:r>
        <w:t xml:space="preserve">•  [Интерфакс] Минфин предложил учитывать в нормативе биржевых продаж поставки топлива по прямым договорам — https://www.interfax.ru/business/1104397</w:t>
      </w:r>
    </w:p>
    <w:p>
      <w:r>
        <w:t xml:space="preserve">•  [Интерфакс] В РФ сообщили об ударе по стоянке украинских грузовиков и автоцистерн в Днепропетровской области — https://www.interfax.ru/russia/1104396</w:t>
      </w:r>
    </w:p>
    <w:p>
      <w:r>
        <w:t xml:space="preserve">•  [Интерфакс] "Левада-центр" и его директор оштрафованы за несоблюдение закона об иноагентах — https://www.interfax.ru/russia/1104391</w:t>
      </w:r>
    </w:p>
    <w:p>
      <w:pPr>
        <w:pStyle w:val="Heading2"/>
      </w:pPr>
      <w:r>
        <w:t xml:space="preserve">5. Полнота данных</w:t>
      </w:r>
    </w:p>
    <w:p>
      <w:r>
        <w:t xml:space="preserve">Не поступили 49 базовых показателей: Клиентопоток, млн. человек, Динамика клиентопотока, Прогнозное значение клиентопотока (с точным значением клиентопотока в разрезе дней), Остаток наличности, млрд. руб., Динамика остатка наличности, Прогноз остатка наличности, Выдача в УС, млрд. руб., Динамика выдачи УС, млрд. руб., Прогноз выдачи в УС, млрд. руб., Коэффициент технической доступности, %, Общее количество инцидентов безопасности, Количество значимых инцидентов безопасности, Количество инцидентов, связанных с социальной инженерией, Общее количество инцидентов СВО, Количество инцидентов СВО, повлиявших на непрерывность деятельности Банка, Количество регионов, в которых зафиксированы инциденты СВО, Количество БПЛА самолётного типа, Количество БПЛА мультироторного типа, Количество ракетных ударов и ракет, Количество обстрелов (артиллерийскихя/минометных/РСЗО), Количество авиабомб, Количество безэкипажных катеров (БЭК), Количество малоразмерных воздушных шаров (МВШ), Количество инцидентов, связанных с аварийной посадкой воздушного судна, Количество авиаударов, Количество с инцидентов, связанных с вооруженным нападением, Количество инцидентов, связанных с диверсией, Количество инцидентов, связанны с падением вощдушного судна, Количество подрывов на ВУ, Количество инцидентов, связанных с проникновением ДРГ, Количество инцидентов , связанных со сходом боеприпаса, Уровень интенсивности инцидентов СВО, Уровень влияния инцидентов СВО, План "Ковёр", Общее количество объявления сигналов ГО, Информирование организаций-партнеров Банка, Общее количество IT-инцидентов, Количество критичных IT-инцидентов, Инциденты кибербезопасности, DDoS-атаки на ресурсы Банка, DDoS-атаки на ресурсы ДЗО, Больничные листы, Количество человек в приграничной зоне, Количество тяжелых случаев заболевания, Сотрудники на дистанционном режиме работе, Уровень заболеваемости в разрезе ГОСБ за 1 день, Уровень заболеваемости в разрезе ГОСБ за 2 недели, Природные инциденты, Технологические инциденты</w:t>
      </w:r>
    </w:p>
    <w:p>
      <w:r>
        <w:t xml:space="preserve">Черновик. Выводы и интерпретация — за аналитиком (human-in-the-loop).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spacing w:before="200" w:after="100"/>
      <w:outlineLvl w:val="1"/>
    </w:pPr>
    <w:rPr>
      <w:b/>
      <w:sz w:val="26"/>
      <w:szCs w:val="26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3"/>
      <w:szCs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