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0" w:type="auto"/>
        <w:tblInd w:w="-743" w:type="dxa"/>
        <w:tblLook w:val="04A0" w:firstRow="1" w:lastRow="0" w:firstColumn="1" w:lastColumn="0" w:noHBand="0" w:noVBand="1"/>
      </w:tblPr>
      <w:tblGrid>
        <w:gridCol w:w="5338"/>
        <w:gridCol w:w="4976"/>
      </w:tblGrid>
      <w:tr w:rsidR="00761B36" w14:paraId="28664787" w14:textId="77777777" w:rsidTr="00646783">
        <w:tc>
          <w:tcPr>
            <w:tcW w:w="5338" w:type="dxa"/>
            <w:hideMark/>
          </w:tcPr>
          <w:p w14:paraId="0BBBAE5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3A1C0E6E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работы: студент специальности 34.02.01 Сестринское дело</w:t>
            </w:r>
          </w:p>
          <w:p w14:paraId="61626F1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2 М</w:t>
            </w:r>
          </w:p>
          <w:p w14:paraId="184CE37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646783">
        <w:tc>
          <w:tcPr>
            <w:tcW w:w="5338" w:type="dxa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  <w:hideMark/>
          </w:tcPr>
          <w:p w14:paraId="108DCDA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2B182636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646783">
        <w:tc>
          <w:tcPr>
            <w:tcW w:w="5338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D3F302" w14:textId="77777777" w:rsidR="003B198D" w:rsidRDefault="003B19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E6DB8" w14:textId="77777777" w:rsidR="009F1B7D" w:rsidRDefault="009F1B7D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F1B7D">
        <w:rPr>
          <w:b/>
          <w:sz w:val="28"/>
          <w:szCs w:val="28"/>
        </w:rPr>
        <w:lastRenderedPageBreak/>
        <w:t xml:space="preserve">СОДЕРЖАНИЕ </w:t>
      </w:r>
    </w:p>
    <w:p w14:paraId="7A63E516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>
          <w:pPr>
            <w:pStyle w:val="ad"/>
          </w:pPr>
        </w:p>
        <w:p w14:paraId="0D7A47EB" w14:textId="6F35406C" w:rsidR="00573620" w:rsidRPr="00573620" w:rsidRDefault="00A0584E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6A5EB13F" w:rsidR="00573620" w:rsidRPr="00573620" w:rsidRDefault="00870B74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406B47E7" w:rsidR="00573620" w:rsidRPr="00573620" w:rsidRDefault="00870B74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46958B36" w:rsidR="00573620" w:rsidRPr="00573620" w:rsidRDefault="00870B74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149D54C9" w:rsidR="00573620" w:rsidRPr="00573620" w:rsidRDefault="00870B74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29131E" w14:textId="563A2542" w:rsidR="00573620" w:rsidRPr="00573620" w:rsidRDefault="00870B74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0F664EBD" w:rsidR="00573620" w:rsidRPr="00573620" w:rsidRDefault="00870B74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092BEB6" w:rsidR="00573620" w:rsidRPr="00573620" w:rsidRDefault="00870B74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761364BD" w14:textId="5E28BCA2" w:rsidR="00573620" w:rsidRPr="00573620" w:rsidRDefault="00870B74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40D500D5" w:rsidR="00573620" w:rsidRPr="00573620" w:rsidRDefault="00870B74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48580111" w:rsidR="00573620" w:rsidRDefault="00870B74" w:rsidP="00B6359D">
          <w:pPr>
            <w:pStyle w:val="11"/>
            <w:tabs>
              <w:tab w:val="right" w:leader="dot" w:pos="9628"/>
            </w:tabs>
            <w:spacing w:after="0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AB3238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7777777" w:rsidR="00573620" w:rsidRDefault="00A0584E"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DCC7EDC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Примерно каждая пятая женщина в России с онкологическим диагнозом страдает от поражения репродуктивной системы.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общепризнанна приоритетная роль профилактике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противорецидивную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Цель курсовой работы изучение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Провести 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17D8A97A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 xml:space="preserve">Предмет исследования </w:t>
      </w:r>
      <w:r>
        <w:rPr>
          <w:sz w:val="28"/>
          <w:szCs w:val="28"/>
        </w:rPr>
        <w:t>-пациенты с онкологическими заболеваниями репродуктивной системы</w:t>
      </w:r>
      <w:r w:rsidRPr="00821E61">
        <w:rPr>
          <w:sz w:val="28"/>
          <w:szCs w:val="28"/>
        </w:rPr>
        <w:t xml:space="preserve">. </w:t>
      </w:r>
    </w:p>
    <w:p w14:paraId="6DEA59E6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 исследования - </w:t>
      </w:r>
      <w:r w:rsidRPr="00821E61">
        <w:rPr>
          <w:sz w:val="28"/>
          <w:szCs w:val="28"/>
        </w:rPr>
        <w:t>профессиональная деятельность мед</w:t>
      </w:r>
      <w:r>
        <w:rPr>
          <w:sz w:val="28"/>
          <w:szCs w:val="28"/>
        </w:rPr>
        <w:t xml:space="preserve">ицинской сестры при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</w:t>
      </w:r>
      <w:r>
        <w:rPr>
          <w:sz w:val="28"/>
          <w:szCs w:val="28"/>
        </w:rPr>
        <w:t>.</w:t>
      </w:r>
    </w:p>
    <w:p w14:paraId="5287CFA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>Методы исследования: Изучение состояния проблемы по результатам научно-теоретического анализа медицинской литературы по данной теме. Сбор информации (по данным официальной статистики). Эмпирич</w:t>
      </w:r>
      <w:r>
        <w:rPr>
          <w:sz w:val="28"/>
          <w:szCs w:val="28"/>
        </w:rPr>
        <w:t>еский метод, анализ результатов.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77777777" w:rsidR="001E6696" w:rsidRDefault="001E6696" w:rsidP="00F318AE">
      <w:pPr>
        <w:pStyle w:val="a7"/>
        <w:shd w:val="clear" w:color="auto" w:fill="FFFFFF"/>
        <w:spacing w:before="0" w:beforeAutospacing="0" w:after="138" w:afterAutospacing="0"/>
        <w:rPr>
          <w:rFonts w:ascii="PtSans" w:hAnsi="PtSans"/>
          <w:color w:val="000000"/>
          <w:sz w:val="22"/>
          <w:szCs w:val="22"/>
        </w:rPr>
      </w:pP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5B337307" w14:textId="77777777" w:rsidR="00FF40ED" w:rsidRDefault="003819AC" w:rsidP="00FF40ED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уровне</w:t>
      </w:r>
      <w:r w:rsidR="00573620">
        <w:rPr>
          <w:sz w:val="28"/>
        </w:rPr>
        <w:t xml:space="preserve"> [1]</w:t>
      </w:r>
      <w:r w:rsidRPr="00FF40ED">
        <w:rPr>
          <w:sz w:val="28"/>
        </w:rPr>
        <w:t xml:space="preserve">. 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>, протекая стадийно – от дисплазии клеток и карциномы in situ,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lastRenderedPageBreak/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> – обычно рак развивается в форме овариальной карциномы. Это одна из самых агрессивных форм рака половой сферы, он 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>. Особая форма рака – это пузырный занос с развитием хориокарциномы, опухоли из тканей плодного яйца (трофобласта).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избыточный вес и ожирение, так как клетки жировой ткани гормоноактивны;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раннее начало месячных и их позднее завершение, указывающее на гомональные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ановуляция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(tumor)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lastRenderedPageBreak/>
        <w:t>Выделяют стадии Тх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Тis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(nodus):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Мх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612CC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0D0AB2B8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</w:p>
    <w:p w14:paraId="6E76E48E" w14:textId="77777777" w:rsidR="00343F7F" w:rsidRDefault="00343F7F" w:rsidP="00420D6E">
      <w:pPr>
        <w:spacing w:line="360" w:lineRule="auto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26A2D680" w14:textId="77777777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77777777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>врачу. Средний возраст больных раком данной локализации к моменты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77777777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самостоятельное заболевание – рак влагалища встречается редко, главным образом у женщин в климктерическом периоде и менопаузе. </w:t>
      </w:r>
    </w:p>
    <w:p w14:paraId="28AA27DB" w14:textId="77777777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1-2-е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папилломавирусной инфекции, которая обладает тропностью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эктоцервиксе (85-95%) и аденокарциному, которая развивается из эндоцервикса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неороговевающим, ороговевающим.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гистотипам рака шейки матки относят мукоэпидермоидная, мелкоклеточная, светлоклеточная и иные формы. С учетом типа роста выделяют экзофитные формы рака шейки матки и эндофитные,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0 (FIGO) или Тis (ТNМ) расценивается как преинвазивный или внутриэпителиальный рак шейки матки (in situ).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A (T2 А) – опухоль инфильтрирует верхнюю и среднюю треть влагалища или тело матки без прорастания параметрия;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B (T2 В) – опухоль инфильтрирует параметрий,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III (FIGO) или T3 (ТNМ) характеризуется распространением рака за пределы шейки матки с прорастанием параметрия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in situ и микроинвазивном раке шейки матки отсутствуют. </w:t>
      </w:r>
      <w:r w:rsidR="002431A6">
        <w:rPr>
          <w:sz w:val="28"/>
        </w:rPr>
        <w:t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постменапаузальные, межменструальные, меноррагии</w:t>
      </w:r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Больные отмечают возникновение белей, водянистых, жидких, прозрачного или желтоватого цвета влагалищных выделений, обусловленных лимфореей.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В случае метастазирования рака шейки матки в тазовые лимфаузлы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влагалищно-пузырные и влагалищно-кишечные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77777777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77777777" w:rsidR="00142DBE" w:rsidRDefault="00142DBE" w:rsidP="00B8773C">
      <w:pPr>
        <w:spacing w:line="360" w:lineRule="auto"/>
        <w:ind w:firstLine="709"/>
        <w:jc w:val="both"/>
        <w:rPr>
          <w:sz w:val="28"/>
        </w:rPr>
      </w:pP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870B74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Кольпоскопия,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трансвагинальным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777777" w:rsidR="00CC7F2A" w:rsidRP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Активны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77777777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Колледжа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t>Таблица 2.1</w:t>
      </w:r>
    </w:p>
    <w:bookmarkStart w:id="8" w:name="_MON_1776196225"/>
    <w:bookmarkEnd w:id="8"/>
    <w:p w14:paraId="5C952E07" w14:textId="6C21377F" w:rsidR="008D3F54" w:rsidRPr="008D3F54" w:rsidRDefault="004645A5" w:rsidP="008D3F54">
      <w:pPr>
        <w:jc w:val="center"/>
      </w:pPr>
      <w:r>
        <w:object w:dxaOrig="9066" w:dyaOrig="3347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452.95pt;height:167.45pt" o:ole="">
            <v:imagedata r:id="rId17" o:title=""/>
          </v:shape>
          <o:OLEObject Type="Embed" ProgID="Excel.Sheet.12" ShapeID="_x0000_i1080" DrawAspect="Content" ObjectID="_1776199945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1ADB75C" w14:textId="0ACA9522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только </w:t>
      </w:r>
      <w:r w:rsidR="00AC6A02">
        <w:rPr>
          <w:sz w:val="28"/>
        </w:rPr>
        <w:t>69</w:t>
      </w:r>
      <w:r w:rsidRPr="00413444">
        <w:rPr>
          <w:sz w:val="28"/>
        </w:rPr>
        <w:t xml:space="preserve">% опрошенных ходят на прием к гинекологу, в то время как </w:t>
      </w:r>
      <w:r w:rsidR="00AC6A02">
        <w:rPr>
          <w:sz w:val="28"/>
        </w:rPr>
        <w:t>19</w:t>
      </w:r>
      <w:r w:rsidRPr="00413444">
        <w:rPr>
          <w:sz w:val="28"/>
        </w:rPr>
        <w:t xml:space="preserve">% не посещают, </w:t>
      </w:r>
      <w:r w:rsidR="00AC6A02">
        <w:rPr>
          <w:sz w:val="28"/>
        </w:rPr>
        <w:t>12</w:t>
      </w:r>
      <w:r w:rsidRPr="00413444">
        <w:rPr>
          <w:sz w:val="28"/>
        </w:rPr>
        <w:t>% затруднились с ответом</w:t>
      </w:r>
      <w:r w:rsidR="00367387">
        <w:rPr>
          <w:sz w:val="28"/>
        </w:rPr>
        <w:t>, рис.2.1.</w:t>
      </w:r>
    </w:p>
    <w:p w14:paraId="40602767" w14:textId="77777777" w:rsidR="00367387" w:rsidRDefault="00367387" w:rsidP="00646783">
      <w:pPr>
        <w:spacing w:line="360" w:lineRule="auto"/>
        <w:ind w:firstLine="709"/>
        <w:jc w:val="both"/>
        <w:rPr>
          <w:sz w:val="28"/>
        </w:rPr>
      </w:pPr>
    </w:p>
    <w:p w14:paraId="43D4723C" w14:textId="77777777" w:rsidR="00367387" w:rsidRDefault="00367387" w:rsidP="00646783">
      <w:pPr>
        <w:spacing w:line="360" w:lineRule="auto"/>
        <w:ind w:firstLine="709"/>
        <w:jc w:val="both"/>
        <w:rPr>
          <w:sz w:val="28"/>
        </w:rPr>
      </w:pP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70DC046F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3D9505A2" w:rsidR="00367387" w:rsidRDefault="00367387" w:rsidP="00646783">
      <w:pPr>
        <w:spacing w:line="360" w:lineRule="auto"/>
        <w:ind w:firstLine="709"/>
        <w:jc w:val="both"/>
        <w:rPr>
          <w:sz w:val="28"/>
        </w:rPr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21D70F9F" w14:textId="14362883" w:rsidR="00367387" w:rsidRDefault="00367387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 </w:t>
      </w:r>
      <w:r w:rsidR="000E447C">
        <w:rPr>
          <w:sz w:val="28"/>
        </w:rPr>
        <w:t>большинство респондентов посещают</w:t>
      </w:r>
      <w:r>
        <w:rPr>
          <w:sz w:val="28"/>
        </w:rPr>
        <w:t xml:space="preserve"> гинеколога</w:t>
      </w:r>
      <w:r w:rsidR="00DF68F3">
        <w:rPr>
          <w:sz w:val="28"/>
        </w:rPr>
        <w:t xml:space="preserve"> не менее одного раза в год</w:t>
      </w:r>
      <w:r>
        <w:rPr>
          <w:sz w:val="28"/>
        </w:rPr>
        <w:t xml:space="preserve">. </w:t>
      </w:r>
    </w:p>
    <w:p w14:paraId="7CBCF3FE" w14:textId="3E53B2C2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>
        <w:rPr>
          <w:sz w:val="28"/>
        </w:rPr>
        <w:t>, что большинство (63% респондентов)</w:t>
      </w:r>
      <w:r w:rsidR="00640FA7">
        <w:rPr>
          <w:sz w:val="28"/>
        </w:rPr>
        <w:t xml:space="preserve"> в случае возникновения какого-либо сбоя менструального цикла обращаются к специалисту (против 31% не обращающихся и 6% затрудняющихся ответить).</w:t>
      </w:r>
      <w:r w:rsidR="00D115E3">
        <w:rPr>
          <w:sz w:val="28"/>
        </w:rPr>
        <w:t xml:space="preserve"> 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CF12F" wp14:editId="1A213E45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0F6E2E08" w:rsidR="00D26991" w:rsidRDefault="008F1BA5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При оценке эффективности профилактики онкологии женской репродуктивной системы важное место занимает наличие либо отсутствие вредных привычек. Данная диаграмма позволяет увидеть, что подавляющее большинство опрошенных имеют какие-либо вредные привычки (69% против 25% </w:t>
      </w:r>
      <w:r w:rsidR="00302D01">
        <w:rPr>
          <w:sz w:val="28"/>
          <w:szCs w:val="28"/>
        </w:rPr>
        <w:t>без них. Еще 6% сомневаются) 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2B24DF3D">
            <wp:extent cx="5403273" cy="2909454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04699578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686306AB" w14:textId="63F93480" w:rsidR="00302D01" w:rsidRDefault="003442D6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Стресс – один из важнейших факторов</w:t>
      </w:r>
      <w:r w:rsidR="008C1FC1">
        <w:rPr>
          <w:sz w:val="28"/>
        </w:rPr>
        <w:t xml:space="preserve"> риска</w:t>
      </w:r>
      <w:r>
        <w:rPr>
          <w:sz w:val="28"/>
        </w:rPr>
        <w:t xml:space="preserve"> заболеваемости онкологией</w:t>
      </w:r>
      <w:r w:rsidR="008C1FC1">
        <w:rPr>
          <w:sz w:val="28"/>
        </w:rPr>
        <w:t>. В ходе опроса выяснилось, что больше половины респондентов (56%) считают свой образ жизни стрессовым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D493481" wp14:editId="1FF9E496">
            <wp:extent cx="5462649" cy="3063834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224DBBF5" w:rsidR="00E476CD" w:rsidRP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>Информированность об онконастороженности</w:t>
      </w:r>
    </w:p>
    <w:p w14:paraId="483F9C34" w14:textId="34A30BF8" w:rsidR="00302D01" w:rsidRDefault="00A544E7" w:rsidP="00413444">
      <w:pPr>
        <w:spacing w:line="360" w:lineRule="auto"/>
        <w:ind w:firstLine="709"/>
        <w:jc w:val="both"/>
        <w:rPr>
          <w:sz w:val="28"/>
        </w:rPr>
      </w:pPr>
      <w:r w:rsidRPr="00E34E65">
        <w:rPr>
          <w:sz w:val="28"/>
        </w:rPr>
        <w:t xml:space="preserve">Также, из следующей диаграммы мы можем увидеть, что соотношение женщин, поддерживающих оптимальный баланс питания и </w:t>
      </w:r>
      <w:r w:rsidR="00E34E65" w:rsidRPr="00E34E65">
        <w:rPr>
          <w:sz w:val="28"/>
        </w:rPr>
        <w:t>двиг</w:t>
      </w:r>
      <w:r w:rsidR="00E34E65">
        <w:rPr>
          <w:sz w:val="28"/>
        </w:rPr>
        <w:t>ательной активности</w:t>
      </w:r>
      <w:r w:rsidR="00E476CD">
        <w:rPr>
          <w:sz w:val="28"/>
        </w:rPr>
        <w:t>, и женщин с дисбалансом вышеуказанного, примерно, одинаков (44% на 44%)</w:t>
      </w:r>
      <w:r w:rsidR="00683687">
        <w:rPr>
          <w:sz w:val="28"/>
        </w:rPr>
        <w:t>. 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63D7F75D">
            <wp:extent cx="5486400" cy="32004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535B26C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t xml:space="preserve">Рис 2.5 </w:t>
      </w:r>
      <w:r w:rsidR="00CB40F3">
        <w:rPr>
          <w:szCs w:val="22"/>
        </w:rPr>
        <w:t>Информированность о факторе риска - курении</w:t>
      </w:r>
    </w:p>
    <w:p w14:paraId="303E2F2C" w14:textId="0D3CB314" w:rsidR="00683687" w:rsidRPr="00683687" w:rsidRDefault="00802125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Информированность населения является важнейшим звеном в цепочке профилактических мероприятий. Следующая диаграмма показывает, что из числа респондентов не обладают информацией по теме только 19%</w:t>
      </w:r>
      <w:r w:rsidR="00681644">
        <w:rPr>
          <w:sz w:val="28"/>
        </w:rPr>
        <w:t xml:space="preserve"> (против 79%)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289E5DB7" w:rsidR="00683687" w:rsidRPr="00302D01" w:rsidRDefault="00683687" w:rsidP="00683687">
      <w:pPr>
        <w:spacing w:line="360" w:lineRule="auto"/>
        <w:ind w:firstLine="851"/>
        <w:jc w:val="both"/>
        <w:rPr>
          <w:sz w:val="28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>информированность о факторе риска - алкоголе</w:t>
      </w:r>
    </w:p>
    <w:p w14:paraId="37E729A4" w14:textId="387BC7AF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Приоритетным направлением профилактической работы </w:t>
      </w:r>
      <w:r w:rsidR="004B2DA5">
        <w:rPr>
          <w:sz w:val="28"/>
        </w:rPr>
        <w:t>является разъяснительная работа медицинского персонала на местах, в особенности, в женской консультации. Мы видим, что среди наших респондентов только 50% отвечают утвердительно на вопрос о проведении с ними разъяснительной работы. 44% ответили отрицательно (6% затруднились ответить) 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51393DA" wp14:editId="1BEFD55F">
            <wp:extent cx="5486400" cy="2968831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lastRenderedPageBreak/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1FFB69E5" w:rsidR="005E2984" w:rsidRDefault="007D1951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следующей диаграмме мы можем увидеть, что из тех, кто получил информацию по профилактике заболеваний репродуктивной системы от медсестры, только 37% выполнили </w:t>
      </w:r>
      <w:r w:rsidR="0012691F">
        <w:rPr>
          <w:sz w:val="28"/>
        </w:rPr>
        <w:t>рекомендации в то время, как</w:t>
      </w:r>
      <w:r>
        <w:rPr>
          <w:sz w:val="28"/>
        </w:rPr>
        <w:t xml:space="preserve"> </w:t>
      </w:r>
      <w:r w:rsidR="0012691F">
        <w:rPr>
          <w:sz w:val="28"/>
        </w:rPr>
        <w:t>38% ответили отрицательно (25% сомневающихся). 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32BBEF09">
            <wp:extent cx="5510151" cy="2755076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796C7AB9" w:rsidR="00DD5956" w:rsidRDefault="00F7774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Женская консультация – первое и самое важное место, где женщина может получить информацию о проблеме, потенциальных рисках</w:t>
      </w:r>
      <w:r w:rsidR="001962B5">
        <w:rPr>
          <w:sz w:val="28"/>
        </w:rPr>
        <w:t xml:space="preserve"> и возможности их профилактики. Опрос показал, что лишь 50% респондентов могут ответить утвердительно на вопрос наличия в их консультации </w:t>
      </w:r>
      <w:r w:rsidR="00941D0A">
        <w:rPr>
          <w:sz w:val="28"/>
        </w:rPr>
        <w:t>какого-либо ориентира в виде печатной информации.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920B80F" wp14:editId="3AC2F8AA">
            <wp:extent cx="5498275" cy="2933205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16BF6BFB" w:rsidR="00C87C1B" w:rsidRP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lastRenderedPageBreak/>
        <w:t xml:space="preserve">Рис 2.9 </w:t>
      </w:r>
      <w:r w:rsidR="00E83633">
        <w:rPr>
          <w:szCs w:val="22"/>
        </w:rPr>
        <w:t>Оценка пользы от инфромированности.</w:t>
      </w:r>
    </w:p>
    <w:p w14:paraId="36B13D16" w14:textId="63BB11B8" w:rsidR="00DD5956" w:rsidRPr="00506BE7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Профосмотры</w:t>
      </w:r>
      <w:r w:rsidR="000C31BC">
        <w:rPr>
          <w:sz w:val="28"/>
        </w:rPr>
        <w:t xml:space="preserve"> обладают наибольшей информативностью</w:t>
      </w:r>
      <w:r w:rsidR="00506BE7" w:rsidRPr="00506BE7">
        <w:rPr>
          <w:sz w:val="28"/>
        </w:rPr>
        <w:t xml:space="preserve"> </w:t>
      </w:r>
      <w:r w:rsidR="00506BE7"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</w:t>
      </w:r>
      <w:r w:rsidR="00C16561">
        <w:rPr>
          <w:sz w:val="28"/>
        </w:rPr>
        <w:t>профосмотрам подвергается объективно малое количество респондентов – 25% (против 44%)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2955D3A6">
            <wp:extent cx="5640779" cy="2790701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7211222F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62E535FC">
            <wp:extent cx="5640779" cy="2790701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249E09E2" w14:textId="77777777" w:rsidR="00546C50" w:rsidRDefault="00546C50" w:rsidP="00413444">
      <w:pPr>
        <w:spacing w:line="360" w:lineRule="auto"/>
        <w:ind w:firstLine="709"/>
        <w:jc w:val="both"/>
        <w:rPr>
          <w:sz w:val="28"/>
        </w:rPr>
      </w:pPr>
    </w:p>
    <w:p w14:paraId="7C7C4167" w14:textId="49177987" w:rsidR="00D750C9" w:rsidRDefault="00D750C9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Из результатов исследования </w:t>
      </w:r>
      <w:r w:rsidR="0012691F">
        <w:rPr>
          <w:sz w:val="28"/>
        </w:rPr>
        <w:t>видно, что</w:t>
      </w:r>
      <w:r>
        <w:rPr>
          <w:sz w:val="28"/>
        </w:rPr>
        <w:t xml:space="preserve"> у респондентов наблюдается достаточно низк</w:t>
      </w:r>
      <w:r w:rsidR="00DD425E">
        <w:rPr>
          <w:sz w:val="28"/>
        </w:rPr>
        <w:t xml:space="preserve">ий уровень настороженности и обеспокоенности к </w:t>
      </w:r>
      <w:r w:rsidR="00DD425E">
        <w:rPr>
          <w:sz w:val="28"/>
        </w:rPr>
        <w:lastRenderedPageBreak/>
        <w:t>собственному здоровью и здоровью репродуктивных органов, при достаточно большом объеме факторов потенцирующих возрастания рисков патологии половой системы и нарушения детородной функции (гиподинамия, хронический стресс, неправильное питание, курение).</w:t>
      </w:r>
    </w:p>
    <w:p w14:paraId="45E60EA5" w14:textId="77777777" w:rsidR="00DD425E" w:rsidRDefault="00403A07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Данная сложившаяся ситуация может являться прямым следствием недостаточной просветительской работы среди женщин, возможных последствий для здоровья и низкого уровня осознания проблемы, нежелание трать рабочее или свободное время на прохождение процедур, «простаивания в очередях», что формирует отрицательное влияние социально-гигиенического фактора. </w:t>
      </w:r>
    </w:p>
    <w:p w14:paraId="25CC9E18" w14:textId="77777777" w:rsidR="00DD425E" w:rsidRDefault="00403A07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7E2DFBF5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lastRenderedPageBreak/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27B7256B" w14:textId="77777777" w:rsidR="00D750C9" w:rsidRDefault="00413444" w:rsidP="00403A07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8233DC2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Рекомендации для практического здравоохранения:</w:t>
      </w:r>
    </w:p>
    <w:p w14:paraId="3B0504A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Активизировать совместную деятельность средних медицинских работников по формированию активной позиции у женщин к своему здоровью.</w:t>
      </w:r>
    </w:p>
    <w:p w14:paraId="4A9172C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>Продолжать проводить лекции на тему: «Женское здоровье. Профилактика рака молочной железы», расширить охват населения г.</w:t>
      </w:r>
    </w:p>
    <w:p w14:paraId="48EE42BE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Использовать созданный информационный банк по вопросам профилактики </w:t>
      </w:r>
      <w:r>
        <w:rPr>
          <w:sz w:val="28"/>
        </w:rPr>
        <w:t>онкологических заболеваний репродуктивной системы женщин</w:t>
      </w:r>
      <w:r w:rsidRPr="00C92E67">
        <w:rPr>
          <w:sz w:val="28"/>
        </w:rPr>
        <w:t xml:space="preserve"> (памятки, обучающую презентацию).</w:t>
      </w:r>
    </w:p>
    <w:p w14:paraId="7783612A" w14:textId="77777777" w:rsid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Размещать информацию на сайтах в интернете.</w:t>
      </w:r>
    </w:p>
    <w:p w14:paraId="063388EA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Для женского населения:</w:t>
      </w:r>
    </w:p>
    <w:p w14:paraId="021827D8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>Ввести здоровый образ жизни.</w:t>
      </w:r>
    </w:p>
    <w:p w14:paraId="73BD2ABC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Активно заниматься самообразованием и повышать уровень осведомленности в вопросах профилактики рака </w:t>
      </w:r>
      <w:r>
        <w:rPr>
          <w:sz w:val="28"/>
        </w:rPr>
        <w:t>репродуктивной системы</w:t>
      </w:r>
      <w:r w:rsidRPr="00C92E67">
        <w:rPr>
          <w:sz w:val="28"/>
        </w:rPr>
        <w:t>.</w:t>
      </w:r>
    </w:p>
    <w:p w14:paraId="3B1D6104" w14:textId="10B4C292" w:rsidR="00C92E67" w:rsidRPr="00C92E67" w:rsidRDefault="00C92E67" w:rsidP="00C92E67">
      <w:pPr>
        <w:spacing w:line="360" w:lineRule="auto"/>
        <w:ind w:firstLine="709"/>
        <w:jc w:val="both"/>
        <w:rPr>
          <w:sz w:val="40"/>
        </w:rPr>
      </w:pPr>
      <w:r>
        <w:rPr>
          <w:sz w:val="28"/>
        </w:rPr>
        <w:t>-</w:t>
      </w:r>
      <w:r w:rsidRPr="00C92E67">
        <w:rPr>
          <w:sz w:val="28"/>
        </w:rPr>
        <w:t xml:space="preserve"> Посещать лекции «Женское здоровье. Профилактика рака молочной железы».</w:t>
      </w:r>
      <w:r w:rsidR="00C16561">
        <w:rPr>
          <w:sz w:val="28"/>
        </w:rPr>
        <w:t xml:space="preserve"> </w:t>
      </w:r>
      <w:r w:rsidRPr="00C92E67">
        <w:rPr>
          <w:sz w:val="28"/>
        </w:rPr>
        <w:t xml:space="preserve">Убедить женщин перестать бояться. Позиция страуса не приносить </w:t>
      </w:r>
      <w:r w:rsidRPr="00C92E67">
        <w:rPr>
          <w:sz w:val="28"/>
        </w:rPr>
        <w:lastRenderedPageBreak/>
        <w:t>плодов, «женщина, ежемесячно занимающаяся самообследованием, знает свои молочные железы лучше любого специалиста»</w:t>
      </w:r>
      <w:r w:rsidRPr="00C92E67">
        <w:rPr>
          <w:rStyle w:val="block"/>
          <w:rFonts w:ascii="Arial" w:hAnsi="Arial" w:cs="Arial"/>
          <w:color w:val="212529"/>
          <w:sz w:val="22"/>
          <w:szCs w:val="21"/>
        </w:rPr>
        <w:t xml:space="preserve"> </w:t>
      </w:r>
      <w:r w:rsidRPr="00C92E67">
        <w:rPr>
          <w:rStyle w:val="block"/>
          <w:color w:val="212529"/>
          <w:sz w:val="28"/>
          <w:szCs w:val="21"/>
        </w:rPr>
        <w:t>и раньше может заметить малейшие изменения, которые могут в них произойти.</w:t>
      </w:r>
      <w:r w:rsidR="00646783">
        <w:rPr>
          <w:rStyle w:val="block"/>
          <w:color w:val="212529"/>
          <w:sz w:val="28"/>
          <w:szCs w:val="21"/>
        </w:rPr>
        <w:t xml:space="preserve"> В ходе исследования была разработана памятка профилактика рака репродуктивной системы женщин, Приложение Б.</w:t>
      </w: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5ABC7CC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 Одной из серьёзных проблем современной медицины является рост онкологической заболеваемости у женщин. Кривая онкологических за</w:t>
      </w:r>
      <w:r>
        <w:rPr>
          <w:sz w:val="28"/>
        </w:rPr>
        <w:t>болеваний неуклонно идёт вверх</w:t>
      </w:r>
      <w:r w:rsidRPr="003819AC">
        <w:rPr>
          <w:sz w:val="28"/>
        </w:rPr>
        <w:t xml:space="preserve">. Рак репродуктивной системы женщины занимает второе место в структуре онкологических заболеваний, уступая только раку молочной железы. </w:t>
      </w:r>
    </w:p>
    <w:p w14:paraId="0C0BB2F7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Гардасил – квадривалентная рекомбинантная вакцина против ВПЧ 6, 11, 16, 18 типов и Церварикс,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постменопаузный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аденоматоз или атрофия, т.е. в развитии опухоли можно наблюдать 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28E143FF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lastRenderedPageBreak/>
        <w:t>Факторами прогноза при раке тела матки являются: гистологическая структура опухоли и степень её дифференцировки; глубина инвазии в миометрий; распределение опухоли на цервикальный канал, наличие опухолевых клеток в сосудах, метастазы в яичниках. В настоящее время каких-либо опухолевых маркёров для уточнения диагностики р</w:t>
      </w:r>
      <w:r>
        <w:rPr>
          <w:sz w:val="28"/>
        </w:rPr>
        <w:t>ака тела матки не существует</w:t>
      </w:r>
      <w:r w:rsidRPr="003819AC">
        <w:rPr>
          <w:sz w:val="28"/>
        </w:rPr>
        <w:t>.</w:t>
      </w:r>
    </w:p>
    <w:p w14:paraId="64FA5BEF" w14:textId="77777777" w:rsidR="00B463B0" w:rsidRPr="000B66AC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В работе проанализирована классификация, клиника, диагностика, лечение и профилактика </w:t>
      </w:r>
      <w:r>
        <w:rPr>
          <w:sz w:val="28"/>
        </w:rPr>
        <w:t>онкологических заболеваний репродуктивной системы женщин, определена роль медицинской сестры</w:t>
      </w:r>
      <w:r w:rsidRPr="000B66AC">
        <w:rPr>
          <w:sz w:val="28"/>
        </w:rPr>
        <w:t xml:space="preserve"> в профилактике факторов риска развития </w:t>
      </w:r>
      <w:r>
        <w:rPr>
          <w:sz w:val="28"/>
        </w:rPr>
        <w:t>заболевания</w:t>
      </w:r>
      <w:r w:rsidRPr="000B66AC">
        <w:rPr>
          <w:sz w:val="28"/>
        </w:rPr>
        <w:t xml:space="preserve">. </w:t>
      </w:r>
    </w:p>
    <w:p w14:paraId="73A5D8E8" w14:textId="77777777" w:rsidR="00B463B0" w:rsidRDefault="00B463B0" w:rsidP="00B463B0">
      <w:pPr>
        <w:spacing w:line="360" w:lineRule="auto"/>
        <w:ind w:firstLine="709"/>
        <w:jc w:val="both"/>
        <w:rPr>
          <w:sz w:val="28"/>
        </w:rPr>
      </w:pPr>
      <w:r w:rsidRPr="000B66AC">
        <w:rPr>
          <w:sz w:val="28"/>
        </w:rPr>
        <w:t xml:space="preserve">При написании работы были поставлены цель и задачи, определены объект и предмет исследования. </w:t>
      </w:r>
      <w:r>
        <w:rPr>
          <w:sz w:val="28"/>
        </w:rPr>
        <w:t xml:space="preserve">Была изучена профилактика и заболевания и роль медицинской сестры в профилактике заболевания. </w:t>
      </w:r>
    </w:p>
    <w:p w14:paraId="3C7F2A80" w14:textId="77777777" w:rsidR="00B463B0" w:rsidRDefault="00B463B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758E51D4" w14:textId="77777777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48442783"/>
      <w:bookmarkStart w:id="12" w:name="_Toc155948364"/>
      <w:r w:rsidRPr="00C1002E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Брико, Н. И. Эпидемиология. Учебник / Н.И. Брико,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Барчук А.А., Раскина Ю.В., Смирнова О.В. и соавт.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Громашевский, Л. В. Общая эпидемиология. Учебник / Л.В. Громашевский.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Захарченко О.О., Терентьева Д.С., Сураева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Мурашко, В. В. Общий уход за больными. Учебное пособие / В.В. Мурашко, Е.Г. Шуганов,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>Мухина, С. А. Практическое руководство к предмету "Основы сестринского дела" / С.А. Мухина, И.И. Тарновская.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>Рациональная фармакотерапия в акушерстве и гинекологии: Руководство для практических врачей. Под общ. ред. В.И. Кулакова, В.Н. Серова. М.: Литтерра,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r w:rsidRPr="008306C8">
        <w:rPr>
          <w:rFonts w:ascii="Times New Roman" w:hAnsi="Times New Roman" w:cs="Times New Roman"/>
          <w:sz w:val="28"/>
        </w:rPr>
        <w:t>Чимитдоржиева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lastRenderedPageBreak/>
        <w:t>Человечкова К.Д., Жербаков А.Ю., Комарова А.Е., Мануева Р.С. Анализ структуры и динамики гинекологической заболеваемости и экстрагенитальной патологии среди сельских женщин. Acta Biomedica Scientifica.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(ая)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2F8318CA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>
        <w:rPr>
          <w:sz w:val="28"/>
        </w:rPr>
        <w:t>Ходите ли Вы на прием к гинекологу</w:t>
      </w:r>
      <w:r w:rsidR="007D00C2">
        <w:rPr>
          <w:sz w:val="28"/>
        </w:rPr>
        <w:t xml:space="preserve"> один раз в год?</w:t>
      </w:r>
    </w:p>
    <w:p w14:paraId="2F20606B" w14:textId="31F84390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2.</w:t>
      </w:r>
      <w:r w:rsidR="007D00C2">
        <w:rPr>
          <w:sz w:val="28"/>
        </w:rPr>
        <w:t xml:space="preserve"> Обращаетесь ли Вы к врачу в случае задержки, отсутствия цикла, либо изменения его частоты?</w:t>
      </w:r>
    </w:p>
    <w:p w14:paraId="439207E7" w14:textId="0D2BCBC4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Имеются ли у Вас какие-либо вредные привычки</w:t>
      </w:r>
      <w:r w:rsidR="00F654AD">
        <w:rPr>
          <w:sz w:val="28"/>
        </w:rPr>
        <w:t>?</w:t>
      </w:r>
    </w:p>
    <w:p w14:paraId="54461078" w14:textId="789610E3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4. Можно ли назвать Ваш образ жизни стрессовым?</w:t>
      </w:r>
    </w:p>
    <w:p w14:paraId="1EF2A67C" w14:textId="3D9890B2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Считаете ли Вы свой образ питания и двигательной активности рациональным?</w:t>
      </w:r>
    </w:p>
    <w:p w14:paraId="79FF8515" w14:textId="10098AC2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7268D7">
        <w:rPr>
          <w:sz w:val="28"/>
        </w:rPr>
        <w:t>Знаете ли вы что такое онкология</w:t>
      </w:r>
      <w:r>
        <w:rPr>
          <w:sz w:val="28"/>
        </w:rPr>
        <w:t xml:space="preserve"> женской репродуктивной системы</w:t>
      </w:r>
      <w:r w:rsidR="007268D7">
        <w:rPr>
          <w:sz w:val="28"/>
        </w:rPr>
        <w:t>?</w:t>
      </w:r>
    </w:p>
    <w:p w14:paraId="12BDB733" w14:textId="5EE27BDE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>. Проводила ли с Вами разъяснительную работу медсестра в</w:t>
      </w:r>
      <w:r>
        <w:rPr>
          <w:sz w:val="28"/>
        </w:rPr>
        <w:t xml:space="preserve"> </w:t>
      </w:r>
      <w:r w:rsidR="007268D7">
        <w:rPr>
          <w:sz w:val="28"/>
        </w:rPr>
        <w:t>консультации</w:t>
      </w:r>
      <w:r>
        <w:rPr>
          <w:sz w:val="28"/>
        </w:rPr>
        <w:t xml:space="preserve"> на тему здоровья </w:t>
      </w:r>
      <w:r w:rsidR="009A01FE">
        <w:rPr>
          <w:sz w:val="28"/>
        </w:rPr>
        <w:t>женской половой системы</w:t>
      </w:r>
      <w:r w:rsidR="007268D7">
        <w:rPr>
          <w:sz w:val="28"/>
        </w:rPr>
        <w:t>?</w:t>
      </w:r>
    </w:p>
    <w:p w14:paraId="317D23DD" w14:textId="15FA8F6D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>
        <w:rPr>
          <w:sz w:val="28"/>
        </w:rPr>
        <w:t>Выполняли ли вы рекомендации медицинской сестры по профилактике заболевания репродуктивной системы</w:t>
      </w:r>
      <w:r w:rsidR="00F07A7A">
        <w:rPr>
          <w:sz w:val="28"/>
        </w:rPr>
        <w:t>?</w:t>
      </w:r>
    </w:p>
    <w:p w14:paraId="12688860" w14:textId="24C987BF" w:rsidR="00B966CC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</w:t>
      </w:r>
      <w:r w:rsidR="00B966CC">
        <w:rPr>
          <w:sz w:val="28"/>
        </w:rPr>
        <w:t>. Есть ли в Вашей консультации памятки или санбюллетени на тему женского репродуктивного здоровья?</w:t>
      </w:r>
    </w:p>
    <w:p w14:paraId="4A33B336" w14:textId="626241DB" w:rsidR="00B72308" w:rsidRPr="007268D7" w:rsidRDefault="009A01FE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</w:t>
      </w:r>
      <w:r w:rsidR="00B72308">
        <w:rPr>
          <w:sz w:val="28"/>
        </w:rPr>
        <w:t>. Проводятся ла на Вашем рабочем месте профосмотры?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DA2129">
      <w:footerReference w:type="default" r:id="rId31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F422" w14:textId="77777777" w:rsidR="00870B74" w:rsidRDefault="00870B74" w:rsidP="00DA2129">
      <w:r>
        <w:separator/>
      </w:r>
    </w:p>
  </w:endnote>
  <w:endnote w:type="continuationSeparator" w:id="0">
    <w:p w14:paraId="0F0D74B9" w14:textId="77777777" w:rsidR="00870B74" w:rsidRDefault="00870B74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E6ED1" w14:textId="77777777" w:rsidR="00870B74" w:rsidRDefault="00870B74" w:rsidP="00DA2129">
      <w:r>
        <w:separator/>
      </w:r>
    </w:p>
  </w:footnote>
  <w:footnote w:type="continuationSeparator" w:id="0">
    <w:p w14:paraId="00CFE118" w14:textId="77777777" w:rsidR="00870B74" w:rsidRDefault="00870B74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12"/>
  </w:num>
  <w:num w:numId="5">
    <w:abstractNumId w:val="8"/>
  </w:num>
  <w:num w:numId="6">
    <w:abstractNumId w:val="15"/>
  </w:num>
  <w:num w:numId="7">
    <w:abstractNumId w:val="2"/>
  </w:num>
  <w:num w:numId="8">
    <w:abstractNumId w:val="3"/>
  </w:num>
  <w:num w:numId="9">
    <w:abstractNumId w:val="1"/>
  </w:num>
  <w:num w:numId="10">
    <w:abstractNumId w:val="5"/>
  </w:num>
  <w:num w:numId="11">
    <w:abstractNumId w:val="18"/>
  </w:num>
  <w:num w:numId="12">
    <w:abstractNumId w:val="16"/>
  </w:num>
  <w:num w:numId="13">
    <w:abstractNumId w:val="17"/>
  </w:num>
  <w:num w:numId="14">
    <w:abstractNumId w:val="11"/>
  </w:num>
  <w:num w:numId="15">
    <w:abstractNumId w:val="4"/>
  </w:num>
  <w:num w:numId="16">
    <w:abstractNumId w:val="7"/>
  </w:num>
  <w:num w:numId="17">
    <w:abstractNumId w:val="14"/>
  </w:num>
  <w:num w:numId="18">
    <w:abstractNumId w:val="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314B4"/>
    <w:rsid w:val="00093811"/>
    <w:rsid w:val="000C31BC"/>
    <w:rsid w:val="000E447C"/>
    <w:rsid w:val="001118EA"/>
    <w:rsid w:val="0011785B"/>
    <w:rsid w:val="0012691F"/>
    <w:rsid w:val="00142DBE"/>
    <w:rsid w:val="001962B5"/>
    <w:rsid w:val="00197CC9"/>
    <w:rsid w:val="001E6696"/>
    <w:rsid w:val="001E6BFA"/>
    <w:rsid w:val="00233067"/>
    <w:rsid w:val="002431A6"/>
    <w:rsid w:val="00264642"/>
    <w:rsid w:val="00282A5B"/>
    <w:rsid w:val="002A3F49"/>
    <w:rsid w:val="002D0B58"/>
    <w:rsid w:val="00302D01"/>
    <w:rsid w:val="00323F74"/>
    <w:rsid w:val="003366B3"/>
    <w:rsid w:val="00343F7F"/>
    <w:rsid w:val="003442D6"/>
    <w:rsid w:val="00367387"/>
    <w:rsid w:val="0037408C"/>
    <w:rsid w:val="00380240"/>
    <w:rsid w:val="003819AC"/>
    <w:rsid w:val="003B198D"/>
    <w:rsid w:val="003E515B"/>
    <w:rsid w:val="00403A07"/>
    <w:rsid w:val="00413444"/>
    <w:rsid w:val="00420D6E"/>
    <w:rsid w:val="00423527"/>
    <w:rsid w:val="00425722"/>
    <w:rsid w:val="00431B89"/>
    <w:rsid w:val="0043750C"/>
    <w:rsid w:val="004645A5"/>
    <w:rsid w:val="004B2DA5"/>
    <w:rsid w:val="004D3397"/>
    <w:rsid w:val="004E1A87"/>
    <w:rsid w:val="004E45D2"/>
    <w:rsid w:val="00506BE7"/>
    <w:rsid w:val="005174BF"/>
    <w:rsid w:val="00521A84"/>
    <w:rsid w:val="00546C50"/>
    <w:rsid w:val="005617FE"/>
    <w:rsid w:val="00573620"/>
    <w:rsid w:val="005859C1"/>
    <w:rsid w:val="005B3D77"/>
    <w:rsid w:val="005E2984"/>
    <w:rsid w:val="0062154C"/>
    <w:rsid w:val="00621DA1"/>
    <w:rsid w:val="00625A08"/>
    <w:rsid w:val="00640FA7"/>
    <w:rsid w:val="006421AC"/>
    <w:rsid w:val="00646783"/>
    <w:rsid w:val="00676C9B"/>
    <w:rsid w:val="00681644"/>
    <w:rsid w:val="00683687"/>
    <w:rsid w:val="006B398E"/>
    <w:rsid w:val="006C7A15"/>
    <w:rsid w:val="006E0E86"/>
    <w:rsid w:val="006E7276"/>
    <w:rsid w:val="00725DA9"/>
    <w:rsid w:val="007268D7"/>
    <w:rsid w:val="00736453"/>
    <w:rsid w:val="00761B36"/>
    <w:rsid w:val="007760ED"/>
    <w:rsid w:val="00776B75"/>
    <w:rsid w:val="007C48E9"/>
    <w:rsid w:val="007D00C2"/>
    <w:rsid w:val="007D1951"/>
    <w:rsid w:val="007E6861"/>
    <w:rsid w:val="00802125"/>
    <w:rsid w:val="008227F4"/>
    <w:rsid w:val="008306C8"/>
    <w:rsid w:val="0085178D"/>
    <w:rsid w:val="00870B74"/>
    <w:rsid w:val="008C1FC1"/>
    <w:rsid w:val="008D3F54"/>
    <w:rsid w:val="008F1BA5"/>
    <w:rsid w:val="008F7792"/>
    <w:rsid w:val="009150AD"/>
    <w:rsid w:val="00937A3A"/>
    <w:rsid w:val="00941D0A"/>
    <w:rsid w:val="0096254D"/>
    <w:rsid w:val="00992743"/>
    <w:rsid w:val="009A01FE"/>
    <w:rsid w:val="009F092D"/>
    <w:rsid w:val="009F1B7D"/>
    <w:rsid w:val="009F21A1"/>
    <w:rsid w:val="00A026F3"/>
    <w:rsid w:val="00A034DF"/>
    <w:rsid w:val="00A0584E"/>
    <w:rsid w:val="00A343F8"/>
    <w:rsid w:val="00A45D99"/>
    <w:rsid w:val="00A544E7"/>
    <w:rsid w:val="00A76A3F"/>
    <w:rsid w:val="00A941BE"/>
    <w:rsid w:val="00AB3238"/>
    <w:rsid w:val="00AC6A02"/>
    <w:rsid w:val="00AC6E41"/>
    <w:rsid w:val="00AD0CCB"/>
    <w:rsid w:val="00AD54CE"/>
    <w:rsid w:val="00AE1E5E"/>
    <w:rsid w:val="00B07CBB"/>
    <w:rsid w:val="00B463B0"/>
    <w:rsid w:val="00B50DFC"/>
    <w:rsid w:val="00B6359D"/>
    <w:rsid w:val="00B72308"/>
    <w:rsid w:val="00B73FE1"/>
    <w:rsid w:val="00B77BB1"/>
    <w:rsid w:val="00B8773C"/>
    <w:rsid w:val="00B966CC"/>
    <w:rsid w:val="00BB4BF6"/>
    <w:rsid w:val="00C06502"/>
    <w:rsid w:val="00C079D5"/>
    <w:rsid w:val="00C12E7F"/>
    <w:rsid w:val="00C16561"/>
    <w:rsid w:val="00C32FB3"/>
    <w:rsid w:val="00C46055"/>
    <w:rsid w:val="00C87C1B"/>
    <w:rsid w:val="00C92E67"/>
    <w:rsid w:val="00CB40F3"/>
    <w:rsid w:val="00CC7F2A"/>
    <w:rsid w:val="00CD10AC"/>
    <w:rsid w:val="00CF0513"/>
    <w:rsid w:val="00D0041B"/>
    <w:rsid w:val="00D011AD"/>
    <w:rsid w:val="00D076DA"/>
    <w:rsid w:val="00D115E3"/>
    <w:rsid w:val="00D26991"/>
    <w:rsid w:val="00D42950"/>
    <w:rsid w:val="00D74CED"/>
    <w:rsid w:val="00D750C9"/>
    <w:rsid w:val="00DA2129"/>
    <w:rsid w:val="00DA79BB"/>
    <w:rsid w:val="00DD425E"/>
    <w:rsid w:val="00DD5956"/>
    <w:rsid w:val="00DF68F3"/>
    <w:rsid w:val="00E011AC"/>
    <w:rsid w:val="00E323E2"/>
    <w:rsid w:val="00E34E65"/>
    <w:rsid w:val="00E415A7"/>
    <w:rsid w:val="00E476CD"/>
    <w:rsid w:val="00E72F38"/>
    <w:rsid w:val="00E81D5D"/>
    <w:rsid w:val="00E83633"/>
    <w:rsid w:val="00EB788B"/>
    <w:rsid w:val="00EC3876"/>
    <w:rsid w:val="00ED181E"/>
    <w:rsid w:val="00EE2A2F"/>
    <w:rsid w:val="00EF7A0B"/>
    <w:rsid w:val="00F001C8"/>
    <w:rsid w:val="00F07A7A"/>
    <w:rsid w:val="00F143F0"/>
    <w:rsid w:val="00F318AE"/>
    <w:rsid w:val="00F329AC"/>
    <w:rsid w:val="00F47FBA"/>
    <w:rsid w:val="00F5623B"/>
    <w:rsid w:val="00F654AD"/>
    <w:rsid w:val="00F73A46"/>
    <w:rsid w:val="00F7774B"/>
    <w:rsid w:val="00FA4D00"/>
    <w:rsid w:val="00FB01EF"/>
    <w:rsid w:val="00FB74A4"/>
    <w:rsid w:val="00FC0B02"/>
    <w:rsid w:val="00FE06EE"/>
    <w:rsid w:val="00FE1191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медстестра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Рассказывала ли Вам медсестра об</a:t>
            </a:r>
            <a:r>
              <a:rPr lang="ru-RU" baseline="0"/>
              <a:t> онкологии женской репродуктивной системы?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825</TotalTime>
  <Pages>32</Pages>
  <Words>5988</Words>
  <Characters>34135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83</cp:revision>
  <cp:lastPrinted>2024-01-18T12:19:00Z</cp:lastPrinted>
  <dcterms:created xsi:type="dcterms:W3CDTF">2024-01-11T15:08:00Z</dcterms:created>
  <dcterms:modified xsi:type="dcterms:W3CDTF">2024-05-02T21:06:00Z</dcterms:modified>
</cp:coreProperties>
</file>