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Q1 2026 Report</w:t>
      </w:r>
    </w:p>
    <w:p>
      <w:r>
        <w:t xml:space="preserve">Revenue grew 12% quarter over quarter, led by the west region.</w:t>
      </w:r>
    </w:p>
    <w:p>
      <w:r>
        <w:t xml:space="preserve">Headcount held flat; vacation utilization rose to 68%.</w:t>
      </w:r>
    </w:p>
  </w:body>
</w:document>
</file>