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A1A2E"/>
          <w:sz w:val="64"/>
        </w:rPr>
        <w:t>🛡️  DDI-Guard</w:t>
      </w:r>
    </w:p>
    <w:p>
      <w:pPr>
        <w:jc w:val="center"/>
      </w:pPr>
      <w:r>
        <w:rPr>
          <w:b/>
          <w:color w:val="3B5BDB"/>
          <w:sz w:val="32"/>
        </w:rPr>
        <w:t>Drug-Drug Interaction Risk Assessment &amp; Clinical Evidence Dashboard</w:t>
      </w:r>
    </w:p>
    <w:p>
      <w:pPr>
        <w:spacing w:before="120"/>
        <w:jc w:val="center"/>
      </w:pPr>
      <w:r>
        <w:rPr>
          <w:color w:val="555555"/>
          <w:sz w:val="22"/>
        </w:rPr>
        <w:t>Hackathon Submission · 2026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Elevator Pitch: DDI-Guard is the only open-source tool that triangulates drug interaction risk from three independent signals — a trained Graph Neural Network, ADMET-AI pharmacokinetics, and a 156,000-pair clinical evidence database — in a single, real-time dashboard accessible to any pharmacologist with a SMILES string.</w:t>
            </w:r>
          </w:p>
        </w:tc>
      </w:tr>
    </w:tbl>
    <w:p/>
    <w:p>
      <w:r>
        <w:br w:type="page"/>
      </w:r>
    </w:p>
    <w:p>
      <w:pPr>
        <w:spacing w:before="360" w:after="80"/>
        <w:pBdr>
          <w:bottom w:val="single" w:sz="6" w:space="4" w:color="3B5BDB"/>
        </w:pBdr>
      </w:pPr>
      <w:r>
        <w:rPr>
          <w:b/>
          <w:color w:val="1A1A2E"/>
          <w:sz w:val="32"/>
        </w:rPr>
        <w:t>1.  The Problem We Solve</w:t>
      </w:r>
    </w:p>
    <w:p>
      <w:pPr>
        <w:spacing w:after="80"/>
      </w:pPr>
      <w:r>
        <w:rPr>
          <w:color w:val="555555"/>
          <w:sz w:val="22"/>
        </w:rPr>
        <w:t>Polypharmacy — the concurrent administration of multiple medications — is the norm, not the exception. In elderly patients, it exceeds 90% prevalence. Yet adverse Drug-Drug Interactions (DDIs) account for up to 30% of all adverse drug events, causing preventable hospitalizations, cardiac toxicity, and treatment failures.</w:t>
      </w:r>
    </w:p>
    <w:p>
      <w:pPr>
        <w:spacing w:before="240" w:after="40"/>
      </w:pPr>
      <w:r>
        <w:rPr>
          <w:b/>
          <w:color w:val="3B5BDB"/>
          <w:sz w:val="26"/>
        </w:rPr>
        <w:t>The Gap in Existing Tools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Pure ML tools:</w:t>
      </w:r>
      <w:r>
        <w:rPr>
          <w:color w:val="555555"/>
          <w:sz w:val="22"/>
        </w:rPr>
        <w:t xml:space="preserve"> predict interaction probability but cannot cite clinical precedent. Clinicians cannot act on a number without provenance.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Pure lookup tables:</w:t>
      </w:r>
      <w:r>
        <w:rPr>
          <w:color w:val="555555"/>
          <w:sz w:val="22"/>
        </w:rPr>
        <w:t xml:space="preserve"> search existing databases but cannot evaluate novel or experimental compounds that have no DrugBank entry.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No unified view:</w:t>
      </w:r>
      <w:r>
        <w:rPr>
          <w:color w:val="555555"/>
          <w:sz w:val="22"/>
        </w:rPr>
        <w:t xml:space="preserve"> researchers toggle between 3–5 separate tools (ADMET predictors, DDI databases, molecular viewers) to build a safety picture. That friction kills speed in early drug development.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Opaque failure modes:</w:t>
      </w:r>
      <w:r>
        <w:rPr>
          <w:color w:val="555555"/>
          <w:sz w:val="22"/>
        </w:rPr>
        <w:t xml:space="preserve"> when a tool returns 'no evidence', there is no way to know whether that means 'safe' or 'not catalogued yet' — a critical distinction.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3B5BDB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DDI-Guard closes this gap: one compound, one button, three independent signals rendered side-by-side with full transparency about data provenance and confidence.</w:t>
            </w:r>
          </w:p>
        </w:tc>
      </w:tr>
    </w:tbl>
    <w:p/>
    <w:p>
      <w:r>
        <w:br w:type="page"/>
      </w:r>
    </w:p>
    <w:p>
      <w:pPr>
        <w:spacing w:before="360" w:after="80"/>
        <w:pBdr>
          <w:bottom w:val="single" w:sz="6" w:space="4" w:color="3B5BDB"/>
        </w:pBdr>
      </w:pPr>
      <w:r>
        <w:rPr>
          <w:b/>
          <w:color w:val="1A1A2E"/>
          <w:sz w:val="32"/>
        </w:rPr>
        <w:t>2.  Our Novelty — What Makes DDI-Guard Different</w:t>
      </w:r>
    </w:p>
    <w:p>
      <w:pPr>
        <w:spacing w:before="240" w:after="40"/>
      </w:pPr>
      <w:r>
        <w:rPr>
          <w:b/>
          <w:color w:val="3B5BDB"/>
          <w:sz w:val="26"/>
        </w:rPr>
        <w:t>2.1  Three-Signal Triangulation (the core innovation)</w:t>
      </w:r>
    </w:p>
    <w:p>
      <w:pPr>
        <w:spacing w:after="80"/>
      </w:pPr>
      <w:r>
        <w:rPr>
          <w:color w:val="555555"/>
          <w:sz w:val="22"/>
        </w:rPr>
        <w:t>Every other DDI tool gives you one signal. DDI-Guard gives you three, simultaneously, engineered to cover each other's blind spots: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What It Tells You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Blind Spot It Covers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Panel 1: ADMET-AI</w:t>
              <w:br/>
              <w:t>(hERG, BBB, CYP3A4)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Intrinsic pharmacokinetic safety of the candidate molecule — cardiac toxicity risk, CNS penetration, metabolic enzyme inhibition.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Novel/experimental compounds with no clinical history. Computed purely from molecular structure.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Panel 2: GraphSAGE GNN</w:t>
              <w:br/>
              <w:t>(Interaction Risk Score)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Topological interaction probability between two drugs based on chemical substructure similarity and learned interaction patterns across 191,878 known pairs.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DDI databases that are blind to structural chemistry. The GNN scores any two SMILES — even compounds invented yesterday.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Panel 3: DDInter Evidence</w:t>
              <w:br/>
              <w:t>(Clinical Severity)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Real-world documented interaction severity: Major / Moderate / Minor, from a curated database of 156,858 clinical records.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ML models that over- or under-predict. Clinical documentation anchors the risk score in real patient outcomes.</w:t>
            </w:r>
          </w:p>
        </w:tc>
      </w:tr>
    </w:tbl>
    <w:p/>
    <w:p>
      <w:pPr>
        <w:spacing w:before="240" w:after="40"/>
      </w:pPr>
      <w:r>
        <w:rPr>
          <w:b/>
          <w:color w:val="3B5BDB"/>
          <w:sz w:val="26"/>
        </w:rPr>
        <w:t>2.2  Transparent Failure Modes (epistemic honesty)</w:t>
      </w:r>
    </w:p>
    <w:p>
      <w:pPr>
        <w:spacing w:after="80"/>
      </w:pPr>
      <w:r>
        <w:rPr>
          <w:color w:val="555555"/>
          <w:sz w:val="22"/>
        </w:rPr>
        <w:t>Most tools silently return 'no interaction found.' DDI-Guard distinguishes and communicates three fundamentally different failure states: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no_record:</w:t>
      </w:r>
      <w:r>
        <w:rPr>
          <w:color w:val="555555"/>
          <w:sz w:val="22"/>
        </w:rPr>
        <w:t xml:space="preserve"> Both drugs are in DDInter's clinical vocabulary, but this specific pair has no documented interaction. Genuine data gap — does not imply safety.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not_in_vocabulary:</w:t>
      </w:r>
      <w:r>
        <w:rPr>
          <w:color w:val="555555"/>
          <w:sz w:val="22"/>
        </w:rPr>
        <w:t xml:space="preserve"> One or both drugs are not in DDInter's ~1,194-drug coverage. Vocabulary miss — the clinical database simply never catalogued this compound. Only the GNN signal is available.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found:</w:t>
      </w:r>
      <w:r>
        <w:rPr>
          <w:color w:val="555555"/>
          <w:sz w:val="22"/>
        </w:rPr>
        <w:t xml:space="preserve"> Documented interaction exists with severity level (Major/Moderate/Minor/Unknown).</w:t>
      </w:r>
    </w:p>
    <w:p>
      <w:pPr>
        <w:spacing w:after="80"/>
      </w:pPr>
      <w:r>
        <w:rPr>
          <w:color w:val="555555"/>
          <w:sz w:val="22"/>
        </w:rPr>
        <w:t>This distinction was validated by our own diagnostic: Aspirin (Acetylsalicylic acid) has 654 documented DDInter partners. For Vinblastine — a genuine 'no_record' case — DDInter contains the drug but has never catalogued the Aspirin-Vinblastine pair. For Vindesine, DDInter doesn't even catalogue the drug. These are fundamentally different epistemic states, and DDI-Guard is the only tool that says so explicitly.</w:t>
      </w:r>
    </w:p>
    <w:p>
      <w:pPr>
        <w:spacing w:before="240" w:after="40"/>
      </w:pPr>
      <w:r>
        <w:rPr>
          <w:b/>
          <w:color w:val="3B5BDB"/>
          <w:sz w:val="26"/>
        </w:rPr>
        <w:t>2.3  Entity Resolution Pipeline (99.7% name coverage)</w:t>
      </w:r>
    </w:p>
    <w:p>
      <w:pPr>
        <w:spacing w:after="80"/>
      </w:pPr>
      <w:r>
        <w:rPr>
          <w:color w:val="555555"/>
          <w:sz w:val="22"/>
        </w:rPr>
        <w:t>The Therapeutics Data Commons (TDC) dataset uses raw DrugBank IDs (DB00945, etc.). DDInter uses pharmacopoeia names (Acetylsalicylic acid). No prior open-source project bridged this gap. We engineered a three-layer resolver: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Layer 1:</w:t>
      </w:r>
      <w:r>
        <w:rPr>
          <w:color w:val="555555"/>
          <w:sz w:val="22"/>
        </w:rPr>
        <w:t xml:space="preserve"> iit-Demokritos drug_id_mapping TSV (22,349 entries) — primary source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Layer 2:</w:t>
      </w:r>
      <w:r>
        <w:rPr>
          <w:color w:val="555555"/>
          <w:sz w:val="22"/>
        </w:rPr>
        <w:t xml:space="preserve"> PubChem PUG-REST parallel batch API (20 concurrent workers) — supplementary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Layer 3:</w:t>
      </w:r>
      <w:r>
        <w:rPr>
          <w:color w:val="555555"/>
          <w:sz w:val="22"/>
        </w:rPr>
        <w:t xml:space="preserve"> Hardcoded INN/trade name alias table (Aspirin→Acetylsalicylic acid, Coumadin→Warfarin, Tegretol→Carbamazepine, etc.) — common name normalization</w:t>
      </w:r>
    </w:p>
    <w:p>
      <w:pPr>
        <w:spacing w:after="60"/>
      </w:pPr>
      <w:r>
        <w:rPr>
          <w:b/>
          <w:color w:val="1A1A2E"/>
          <w:sz w:val="22"/>
        </w:rPr>
        <w:t xml:space="preserve">  Resolution coverage:  </w:t>
      </w:r>
      <w:r>
        <w:rPr>
          <w:b/>
          <w:color w:val="1E8B4C"/>
          <w:sz w:val="22"/>
        </w:rPr>
        <w:t>1,700 / 1,705 TDC drugs (99.7%)</w:t>
      </w:r>
      <w:r>
        <w:rPr>
          <w:color w:val="555555"/>
          <w:sz w:val="20"/>
        </w:rPr>
        <w:t xml:space="preserve">  (5 remain as raw DB IDs)</w:t>
      </w:r>
    </w:p>
    <w:p>
      <w:pPr>
        <w:spacing w:after="60"/>
      </w:pPr>
      <w:r>
        <w:rPr>
          <w:b/>
          <w:color w:val="1A1A2E"/>
          <w:sz w:val="22"/>
        </w:rPr>
        <w:t xml:space="preserve">  DDInter overlap after resolution:  </w:t>
      </w:r>
      <w:r>
        <w:rPr>
          <w:b/>
          <w:color w:val="1E8B4C"/>
          <w:sz w:val="22"/>
        </w:rPr>
        <w:t>70.2% (1,194 drugs)</w:t>
      </w:r>
      <w:r>
        <w:rPr>
          <w:color w:val="555555"/>
          <w:sz w:val="20"/>
        </w:rPr>
        <w:t xml:space="preserve">  (vs 0% with raw DB IDs)</w:t>
      </w:r>
    </w:p>
    <w:p>
      <w:pPr>
        <w:spacing w:after="60"/>
      </w:pPr>
      <w:r>
        <w:rPr>
          <w:b/>
          <w:color w:val="1A1A2E"/>
          <w:sz w:val="22"/>
        </w:rPr>
        <w:t xml:space="preserve">  Resolvable clinical pairs:  </w:t>
      </w:r>
      <w:r>
        <w:rPr>
          <w:b/>
          <w:color w:val="1E8B4C"/>
          <w:sz w:val="22"/>
        </w:rPr>
        <w:t>92,227</w:t>
      </w:r>
      <w:r>
        <w:rPr>
          <w:color w:val="555555"/>
          <w:sz w:val="20"/>
        </w:rPr>
        <w:t xml:space="preserve">  (from the 1,705-drug TDC catalogue)</w:t>
      </w:r>
    </w:p>
    <w:p>
      <w:pPr>
        <w:spacing w:before="240" w:after="40"/>
      </w:pPr>
      <w:r>
        <w:rPr>
          <w:b/>
          <w:color w:val="3B5BDB"/>
          <w:sz w:val="26"/>
        </w:rPr>
        <w:t>2.4  Hardware-Adaptive Training (Apple Silicon MPS)</w:t>
      </w:r>
    </w:p>
    <w:p>
      <w:pPr>
        <w:spacing w:after="80"/>
      </w:pPr>
      <w:r>
        <w:rPr>
          <w:color w:val="555555"/>
          <w:sz w:val="22"/>
        </w:rPr>
        <w:t>Training was implemented with explicit MPS (Metal Performance Shaders) acceleration on Apple Silicon, with automated CPU fallback if MPS kernels are missing — a known gap in torch_geometric on M1. The fallback is logged and reported, not silently swallowed.</w:t>
      </w:r>
    </w:p>
    <w:p>
      <w:r>
        <w:br w:type="page"/>
      </w:r>
    </w:p>
    <w:p>
      <w:pPr>
        <w:spacing w:before="360" w:after="80"/>
        <w:pBdr>
          <w:bottom w:val="single" w:sz="6" w:space="4" w:color="3B5BDB"/>
        </w:pBdr>
      </w:pPr>
      <w:r>
        <w:rPr>
          <w:b/>
          <w:color w:val="1A1A2E"/>
          <w:sz w:val="32"/>
        </w:rPr>
        <w:t>3.  Solution Architecture</w:t>
      </w:r>
    </w:p>
    <w:p>
      <w:pPr>
        <w:spacing w:before="240" w:after="40"/>
      </w:pPr>
      <w:r>
        <w:rPr>
          <w:b/>
          <w:color w:val="3B5BDB"/>
          <w:sz w:val="26"/>
        </w:rPr>
        <w:t>3.1  System Overview</w:t>
      </w:r>
    </w:p>
    <w:p>
      <w:pPr>
        <w:spacing w:after="80"/>
      </w:pPr>
      <w:r>
        <w:rPr>
          <w:color w:val="555555"/>
          <w:sz w:val="22"/>
        </w:rPr>
        <w:t>DDI-Guard is a three-tier system: a FastAPI backend, a Streamlit frontend, and an offline training pipeline. The backend loads all heavy resources once at startup (GraphSAGE model, ADMET-AI, DDInter CSV, drug catalogue) — every /analyze request is stateless and returns fresh results keyed by input hash.</w:t>
      </w:r>
    </w:p>
    <w:p>
      <w:pPr>
        <w:spacing w:after="80"/>
      </w:pPr>
      <w:r>
        <w:rPr>
          <w:b/>
          <w:color w:val="1A1A2E"/>
          <w:sz w:val="22"/>
        </w:rPr>
        <w:t>Architecture diagram (logical):</w:t>
      </w:r>
    </w:p>
    <w:p/>
    <w:p>
      <w:pPr>
        <w:ind w:left="576"/>
      </w:pPr>
      <w:r>
        <w:rPr>
          <w:rFonts w:ascii="Courier New" w:hAnsi="Courier New"/>
          <w:color w:val="1A1A2E"/>
          <w:sz w:val="18"/>
        </w:rPr>
        <w:t xml:space="preserve">  User Browser (http://localhost:8501)</w:t>
        <w:br/>
        <w:t xml:space="preserve">       │</w:t>
        <w:br/>
        <w:t xml:space="preserve">       ▼</w:t>
        <w:br/>
        <w:t xml:space="preserve">  Streamlit Frontend  (frontend/app.py)</w:t>
        <w:br/>
        <w:t xml:space="preserve">  • GET /drugs   → populates target drug dropdown (1,705 drugs, cached 1h)</w:t>
        <w:br/>
        <w:t xml:space="preserve">  • POST /analyze → sends {candidate_name, candidate_smiles, target_drug}</w:t>
        <w:br/>
        <w:t xml:space="preserve">       │</w:t>
        <w:br/>
        <w:t xml:space="preserve">       ▼</w:t>
        <w:br/>
        <w:t xml:space="preserve">  FastAPI Backend  (backend/main.py + backend/inference.py)</w:t>
        <w:br/>
        <w:t xml:space="preserve">  • Startup: loads GraphSAGE model, ADMET-AI, DDInter CSV, drug catalogue</w:t>
        <w:br/>
        <w:t xml:space="preserve">  • /analyze: runs all 3 panels in parallel, returns structured JSON</w:t>
        <w:br/>
        <w:t xml:space="preserve">  • CORS enabled for localhost:8501</w:t>
        <w:br/>
        <w:t xml:space="preserve">       │</w:t>
        <w:br/>
        <w:t xml:space="preserve">       ├──▶  Panel 1: ADMET-AI (Chemprop ensemble)</w:t>
        <w:br/>
        <w:t xml:space="preserve">       ├──▶  Panel 2: GraphSAGE GNN (models/graphsage_mvp.pt)</w:t>
        <w:br/>
        <w:t xml:space="preserve">       └──▶  Panel 3: DDInter lookup (ddinter_evidence.csv, 156k rows)</w:t>
      </w:r>
    </w:p>
    <w:p>
      <w:pPr>
        <w:spacing w:before="240" w:after="40"/>
      </w:pPr>
      <w:r>
        <w:rPr>
          <w:b/>
          <w:color w:val="3B5BDB"/>
          <w:sz w:val="26"/>
        </w:rPr>
        <w:t>3.2  GraphSAGE Model Architecture</w:t>
      </w:r>
    </w:p>
    <w:p>
      <w:pPr>
        <w:spacing w:after="80"/>
      </w:pPr>
      <w:r>
        <w:rPr>
          <w:color w:val="555555"/>
          <w:sz w:val="22"/>
        </w:rPr>
        <w:t>The interaction prediction network uses link prediction over a molecular graph: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Input features:</w:t>
      </w:r>
      <w:r>
        <w:rPr>
          <w:color w:val="555555"/>
          <w:sz w:val="22"/>
        </w:rPr>
        <w:t xml:space="preserve"> 1,024-bit Morgan fingerprints (ECFP4 equivalent, radius=2) per drug node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Encoder:</w:t>
      </w:r>
      <w:r>
        <w:rPr>
          <w:color w:val="555555"/>
          <w:sz w:val="22"/>
        </w:rPr>
        <w:t xml:space="preserve"> 2-layer GraphSAGE  —  SAGEConv(1024→128, ReLU) → SAGEConv(128→64, ReLU)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Decoder:</w:t>
      </w:r>
      <w:r>
        <w:rPr>
          <w:color w:val="555555"/>
          <w:sz w:val="22"/>
        </w:rPr>
        <w:t xml:space="preserve"> Hadamard product edge features → Linear(64→32, ReLU) → Linear(32→1, Sigmoid)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Loss:</w:t>
      </w:r>
      <w:r>
        <w:rPr>
          <w:color w:val="555555"/>
          <w:sz w:val="22"/>
        </w:rPr>
        <w:t xml:space="preserve"> Binary cross-entropy on positive + synthetic negative edges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Leakage prevention:</w:t>
      </w:r>
      <w:r>
        <w:rPr>
          <w:color w:val="555555"/>
          <w:sz w:val="22"/>
        </w:rPr>
        <w:t xml:space="preserve"> RandomLinkSplit (80% train / 10% val / 10% test) with strict edge isolation — negative edges verified against the full 191,878 positive set</w:t>
      </w:r>
    </w:p>
    <w:p>
      <w:pPr>
        <w:spacing w:before="240" w:after="40"/>
      </w:pPr>
      <w:r>
        <w:rPr>
          <w:b/>
          <w:color w:val="3B5BDB"/>
          <w:sz w:val="26"/>
        </w:rPr>
        <w:t>3.3  Data Pipeline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Primary dataset:</w:t>
      </w:r>
      <w:r>
        <w:rPr>
          <w:color w:val="555555"/>
          <w:sz w:val="22"/>
        </w:rPr>
        <w:t xml:space="preserve"> TDC DrugBank DDI — 191,878 positive interaction pairs, 1,705 unique drugs with SMILES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Training set:</w:t>
      </w:r>
      <w:r>
        <w:rPr>
          <w:color w:val="555555"/>
          <w:sz w:val="22"/>
        </w:rPr>
        <w:t xml:space="preserve"> 40,000 balanced positive edges + 40,000 verified negative edges (fixed seed=42)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Clinical evidence:</w:t>
      </w:r>
      <w:r>
        <w:rPr>
          <w:color w:val="555555"/>
          <w:sz w:val="22"/>
        </w:rPr>
        <w:t xml:space="preserve"> DDInter — 7 ATC category files merged, deduplicated → 156,858 unique pairs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Drug name resolution:</w:t>
      </w:r>
      <w:r>
        <w:rPr>
          <w:color w:val="555555"/>
          <w:sz w:val="22"/>
        </w:rPr>
        <w:t xml:space="preserve"> 3-layer pipeline resolving 99.7% of TDC IDs to human-readable names</w:t>
      </w:r>
    </w:p>
    <w:p>
      <w:r>
        <w:br w:type="page"/>
      </w:r>
    </w:p>
    <w:p>
      <w:pPr>
        <w:spacing w:before="360" w:after="80"/>
        <w:pBdr>
          <w:bottom w:val="single" w:sz="6" w:space="4" w:color="3B5BDB"/>
        </w:pBdr>
      </w:pPr>
      <w:r>
        <w:rPr>
          <w:b/>
          <w:color w:val="1A1A2E"/>
          <w:sz w:val="32"/>
        </w:rPr>
        <w:t>4.  Model Performance &amp; Results</w:t>
      </w:r>
    </w:p>
    <w:p>
      <w:pPr>
        <w:spacing w:before="240" w:after="40"/>
      </w:pPr>
      <w:r>
        <w:rPr>
          <w:b/>
          <w:color w:val="3B5BDB"/>
          <w:sz w:val="26"/>
        </w:rPr>
        <w:t>4.1  Training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1A1A2E"/>
                <w:sz w:val="20"/>
              </w:rPr>
              <w:t>Optimizer</w:t>
            </w:r>
          </w:p>
        </w:tc>
        <w:tc>
          <w:tcPr>
            <w:tcW w:type="dxa" w:w="4703"/>
          </w:tcPr>
          <w:p>
            <w:r>
              <w:rPr>
                <w:color w:val="555555"/>
                <w:sz w:val="20"/>
              </w:rPr>
              <w:t>Adam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1A2E"/>
                <w:sz w:val="20"/>
              </w:rPr>
              <w:t>Learning Rate</w:t>
            </w:r>
          </w:p>
        </w:tc>
        <w:tc>
          <w:tcPr>
            <w:tcW w:type="dxa" w:w="4703"/>
          </w:tcPr>
          <w:p>
            <w:r>
              <w:rPr>
                <w:color w:val="555555"/>
                <w:sz w:val="20"/>
              </w:rPr>
              <w:t>0.001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1A2E"/>
                <w:sz w:val="20"/>
              </w:rPr>
              <w:t>Epochs</w:t>
            </w:r>
          </w:p>
        </w:tc>
        <w:tc>
          <w:tcPr>
            <w:tcW w:type="dxa" w:w="4703"/>
          </w:tcPr>
          <w:p>
            <w:r>
              <w:rPr>
                <w:color w:val="555555"/>
                <w:sz w:val="20"/>
              </w:rPr>
              <w:t>30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1A2E"/>
                <w:sz w:val="20"/>
              </w:rPr>
              <w:t>Checkpoint Policy</w:t>
            </w:r>
          </w:p>
        </w:tc>
        <w:tc>
          <w:tcPr>
            <w:tcW w:type="dxa" w:w="4703"/>
          </w:tcPr>
          <w:p>
            <w:r>
              <w:rPr>
                <w:color w:val="555555"/>
                <w:sz w:val="20"/>
              </w:rPr>
              <w:t>Best validation ROC-AUC (not final epoch)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1A2E"/>
                <w:sz w:val="20"/>
              </w:rPr>
              <w:t>Training Edges</w:t>
            </w:r>
          </w:p>
        </w:tc>
        <w:tc>
          <w:tcPr>
            <w:tcW w:type="dxa" w:w="4703"/>
          </w:tcPr>
          <w:p>
            <w:r>
              <w:rPr>
                <w:color w:val="555555"/>
                <w:sz w:val="20"/>
              </w:rPr>
              <w:t>40,000 positive + 40,000 negative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1A2E"/>
                <w:sz w:val="20"/>
              </w:rPr>
              <w:t>Compute</w:t>
            </w:r>
          </w:p>
        </w:tc>
        <w:tc>
          <w:tcPr>
            <w:tcW w:type="dxa" w:w="4703"/>
          </w:tcPr>
          <w:p>
            <w:r>
              <w:rPr>
                <w:color w:val="555555"/>
                <w:sz w:val="20"/>
              </w:rPr>
              <w:t>Apple Silicon M1 MPS (torch.device('mps'))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1A2E"/>
                <w:sz w:val="20"/>
              </w:rPr>
              <w:t>Training Time</w:t>
            </w:r>
          </w:p>
        </w:tc>
        <w:tc>
          <w:tcPr>
            <w:tcW w:type="dxa" w:w="4703"/>
          </w:tcPr>
          <w:p>
            <w:r>
              <w:rPr>
                <w:color w:val="555555"/>
                <w:sz w:val="20"/>
              </w:rPr>
              <w:t>7.0 seconds total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1A2E"/>
                <w:sz w:val="20"/>
              </w:rPr>
              <w:t>Model Size</w:t>
            </w:r>
          </w:p>
        </w:tc>
        <w:tc>
          <w:tcPr>
            <w:tcW w:type="dxa" w:w="4703"/>
          </w:tcPr>
          <w:p>
            <w:r>
              <w:rPr>
                <w:color w:val="555555"/>
                <w:sz w:val="20"/>
              </w:rPr>
              <w:t>~2.1MB (graphsage_mvp.pt)</w:t>
            </w:r>
          </w:p>
        </w:tc>
      </w:tr>
    </w:tbl>
    <w:p/>
    <w:p>
      <w:pPr>
        <w:spacing w:before="240" w:after="40"/>
      </w:pPr>
      <w:r>
        <w:rPr>
          <w:b/>
          <w:color w:val="3B5BDB"/>
          <w:sz w:val="26"/>
        </w:rPr>
        <w:t>4.2  Validation ROC-AUC Convergence</w:t>
      </w:r>
    </w:p>
    <w:p>
      <w:pPr>
        <w:spacing w:after="80"/>
      </w:pPr>
      <w:r>
        <w:rPr>
          <w:color w:val="555555"/>
          <w:sz w:val="22"/>
        </w:rPr>
        <w:t>Best-checkpoint saving was added after observing early-epoch instability at LR=0.005. Lowering LR to 0.001 produced smooth monotonic improvement: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B5BDB"/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3135"/>
            <w:shd w:val="clear" w:color="auto" w:fill="3B5BDB"/>
          </w:tcPr>
          <w:p>
            <w:r>
              <w:rPr>
                <w:b/>
                <w:color w:val="FFFFFF"/>
                <w:sz w:val="20"/>
              </w:rPr>
              <w:t>Val ROC-AUC</w:t>
            </w:r>
          </w:p>
        </w:tc>
        <w:tc>
          <w:tcPr>
            <w:tcW w:type="dxa" w:w="3135"/>
            <w:shd w:val="clear" w:color="auto" w:fill="3B5BDB"/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Epoch 1</w:t>
            </w:r>
          </w:p>
        </w:tc>
        <w:tc>
          <w:tcPr>
            <w:tcW w:type="dxa" w:w="3135"/>
          </w:tcPr>
          <w:p>
            <w:r>
              <w:rPr>
                <w:b/>
                <w:color w:val="555555"/>
                <w:sz w:val="20"/>
              </w:rPr>
              <w:t>0.5000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random baseline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Epoch 5</w:t>
            </w:r>
          </w:p>
        </w:tc>
        <w:tc>
          <w:tcPr>
            <w:tcW w:type="dxa" w:w="3135"/>
          </w:tcPr>
          <w:p>
            <w:r>
              <w:rPr>
                <w:b/>
                <w:color w:val="555555"/>
                <w:sz w:val="20"/>
              </w:rPr>
              <w:t>0.6480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+14.8pp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Epoch 10</w:t>
            </w:r>
          </w:p>
        </w:tc>
        <w:tc>
          <w:tcPr>
            <w:tcW w:type="dxa" w:w="3135"/>
          </w:tcPr>
          <w:p>
            <w:r>
              <w:rPr>
                <w:b/>
                <w:color w:val="1E8B4C"/>
                <w:sz w:val="20"/>
              </w:rPr>
              <w:t>0.7259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crosses 0.70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Epoch 15</w:t>
            </w:r>
          </w:p>
        </w:tc>
        <w:tc>
          <w:tcPr>
            <w:tcW w:type="dxa" w:w="3135"/>
          </w:tcPr>
          <w:p>
            <w:r>
              <w:rPr>
                <w:b/>
                <w:color w:val="1E8B4C"/>
                <w:sz w:val="20"/>
              </w:rPr>
              <w:t>0.7372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Epoch 20</w:t>
            </w:r>
          </w:p>
        </w:tc>
        <w:tc>
          <w:tcPr>
            <w:tcW w:type="dxa" w:w="3135"/>
          </w:tcPr>
          <w:p>
            <w:r>
              <w:rPr>
                <w:b/>
                <w:color w:val="1E8B4C"/>
                <w:sz w:val="20"/>
              </w:rPr>
              <w:t>0.7594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Epoch 25</w:t>
            </w:r>
          </w:p>
        </w:tc>
        <w:tc>
          <w:tcPr>
            <w:tcW w:type="dxa" w:w="3135"/>
          </w:tcPr>
          <w:p>
            <w:r>
              <w:rPr>
                <w:b/>
                <w:color w:val="1E8B4C"/>
                <w:sz w:val="20"/>
              </w:rPr>
              <w:t>0.7664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Epoch 28</w:t>
            </w:r>
          </w:p>
        </w:tc>
        <w:tc>
          <w:tcPr>
            <w:tcW w:type="dxa" w:w="3135"/>
          </w:tcPr>
          <w:p>
            <w:r>
              <w:rPr>
                <w:b/>
                <w:color w:val="1E8B4C"/>
                <w:sz w:val="20"/>
              </w:rPr>
              <w:t>0.7743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★ checkpoint candidate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Epoch 30</w:t>
            </w:r>
          </w:p>
        </w:tc>
        <w:tc>
          <w:tcPr>
            <w:tcW w:type="dxa" w:w="3135"/>
          </w:tcPr>
          <w:p>
            <w:r>
              <w:rPr>
                <w:b/>
                <w:color w:val="1E8B4C"/>
                <w:sz w:val="20"/>
              </w:rPr>
              <w:t>0.7772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★ SAVED — best val AUC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1E8B4C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Final best val ROC-AUC: 0.7772  |  Training time: 7.0s on M1 MPS  |  Checkpoint: Epoch 30 (best of all 30 epochs)</w:t>
            </w:r>
          </w:p>
        </w:tc>
      </w:tr>
    </w:tbl>
    <w:p/>
    <w:p>
      <w:r>
        <w:br w:type="page"/>
      </w:r>
    </w:p>
    <w:p>
      <w:pPr>
        <w:spacing w:before="360" w:after="80"/>
        <w:pBdr>
          <w:bottom w:val="single" w:sz="6" w:space="4" w:color="3B5BDB"/>
        </w:pBdr>
      </w:pPr>
      <w:r>
        <w:rPr>
          <w:b/>
          <w:color w:val="1A1A2E"/>
          <w:sz w:val="32"/>
        </w:rPr>
        <w:t>5.  Demo Test Cases — What to Say at the Hackathon</w:t>
      </w:r>
    </w:p>
    <w:p>
      <w:pPr>
        <w:spacing w:before="240" w:after="40"/>
      </w:pPr>
      <w:r>
        <w:rPr>
          <w:b/>
          <w:color w:val="3B5BDB"/>
          <w:sz w:val="26"/>
        </w:rPr>
        <w:t>Case 1: Aspirin + Warfarin  (the flagship demo)</w:t>
      </w:r>
    </w:p>
    <w:p>
      <w:pPr>
        <w:spacing w:after="80"/>
      </w:pPr>
      <w:r>
        <w:rPr>
          <w:color w:val="555555"/>
          <w:sz w:val="22"/>
        </w:rPr>
        <w:t>A classical high-risk clinical combination: antiplatelet + anticoagulant. Concurrent use significantly elevates hemorrhage risk — well-documented in clinical literature.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Panel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703"/>
            <w:shd w:val="clear" w:color="auto" w:fill="EBF0FF"/>
          </w:tcPr>
          <w:p>
            <w:r>
              <w:rPr>
                <w:b/>
                <w:color w:val="1A1A2E"/>
                <w:sz w:val="20"/>
              </w:rPr>
              <w:t>Panel 1 — ADMET (Aspirin)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hERG: 0.021 (low cardiac risk)  |  BBB: 0.658 (moderate CNS penetration)  |  CYP3A4: 0.000 (no metabolic inhibition)</w:t>
            </w:r>
          </w:p>
        </w:tc>
      </w:tr>
      <w:tr>
        <w:tc>
          <w:tcPr>
            <w:tcW w:type="dxa" w:w="4703"/>
            <w:shd w:val="clear" w:color="auto" w:fill="EBF0FF"/>
          </w:tcPr>
          <w:p>
            <w:r>
              <w:rPr>
                <w:b/>
                <w:color w:val="1A1A2E"/>
                <w:sz w:val="20"/>
              </w:rPr>
              <w:t>Panel 2 — GraphSAGE Risk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Score: 0.2912 → Low Risk  (structural baseline; binary interaction network trained on presence/absence, not severity)</w:t>
            </w:r>
          </w:p>
        </w:tc>
      </w:tr>
      <w:tr>
        <w:tc>
          <w:tcPr>
            <w:tcW w:type="dxa" w:w="4703"/>
            <w:shd w:val="clear" w:color="auto" w:fill="EBF0FF"/>
          </w:tcPr>
          <w:p>
            <w:r>
              <w:rPr>
                <w:b/>
                <w:color w:val="1A1A2E"/>
                <w:sz w:val="20"/>
              </w:rPr>
              <w:t>Panel 3 — Clinical Evidence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FOUND  |  Severity: MAJOR  |  Resolved: 'Aspirin' → 'Acetylsalicylic acid' via alias table → matched in DDInter</w:t>
            </w:r>
          </w:p>
        </w:tc>
      </w:tr>
    </w:tbl>
    <w:p/>
    <w:p>
      <w:pPr>
        <w:spacing w:after="80"/>
      </w:pPr>
      <w:r>
        <w:rPr>
          <w:b/>
          <w:color w:val="1A1A2E"/>
          <w:sz w:val="22"/>
        </w:rPr>
        <w:t>What to say: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'Notice Panel 3 says MAJOR — this is a real clinical warning from the DDInter database, not our model making it up. And notice the resolved name: DDI-Guard automatically knew that Aspirin means Acetylsalicylic acid for clinical lookup.'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'Panel 2 scores 0.29 — Low Risk structurally. This illustrates why three signals matter: the GNN sees chemical dissimilarity, but clinical data tells us this pair is genuinely dangerous at the pharmacodynamic level. Neither signal alone is enough.'</w:t>
      </w:r>
    </w:p>
    <w:p/>
    <w:p>
      <w:pPr>
        <w:spacing w:before="240" w:after="40"/>
      </w:pPr>
      <w:r>
        <w:rPr>
          <w:b/>
          <w:color w:val="3B5BDB"/>
          <w:sz w:val="26"/>
        </w:rPr>
        <w:t>Case 2: Aspirin + Carbamazepine  (moderate risk, all signals agree)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Panel 1:</w:t>
      </w:r>
      <w:r>
        <w:rPr>
          <w:color w:val="555555"/>
          <w:sz w:val="22"/>
        </w:rPr>
        <w:t xml:space="preserve"> Same ADMET profile as above (intrinsic to Aspirin, target-independent)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Panel 2:</w:t>
      </w:r>
      <w:r>
        <w:rPr>
          <w:color w:val="555555"/>
          <w:sz w:val="22"/>
        </w:rPr>
        <w:t xml:space="preserve"> Score 0.5094 → Moderate Risk  (GNN sees structural interaction signal)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Panel 3:</w:t>
      </w:r>
      <w:r>
        <w:rPr>
          <w:color w:val="555555"/>
          <w:sz w:val="22"/>
        </w:rPr>
        <w:t xml:space="preserve"> FOUND — Severity: Unknown  (DDInter has this pair but severity not specified in source)</w:t>
      </w:r>
    </w:p>
    <w:p>
      <w:pPr>
        <w:spacing w:after="80"/>
      </w:pPr>
      <w:r>
        <w:rPr>
          <w:b/>
          <w:color w:val="1A1A2E"/>
          <w:sz w:val="22"/>
        </w:rPr>
        <w:t>What to say: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'All three panels flag this pair. The GNN says Moderate Risk. DDInter confirms the interaction exists. The Unknown severity is not a bug — it means DDInter documented the interaction but the original study didn't assign a severity tier.'</w:t>
      </w:r>
    </w:p>
    <w:p/>
    <w:p>
      <w:pPr>
        <w:spacing w:before="240" w:after="40"/>
      </w:pPr>
      <w:r>
        <w:rPr>
          <w:b/>
          <w:color w:val="3B5BDB"/>
          <w:sz w:val="26"/>
        </w:rPr>
        <w:t>Case 3: Aspirin + Vinblastine  (genuine data gap — no_record)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Panel 2:</w:t>
      </w:r>
      <w:r>
        <w:rPr>
          <w:color w:val="555555"/>
          <w:sz w:val="22"/>
        </w:rPr>
        <w:t xml:space="preserve"> GraphSAGE scores the pair — this is the only available signal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Panel 3:</w:t>
      </w:r>
      <w:r>
        <w:rPr>
          <w:color w:val="555555"/>
          <w:sz w:val="22"/>
        </w:rPr>
        <w:t xml:space="preserve"> no_record — Both drugs exist in DDInter's vocabulary, but this specific pair has never been catalogued. 654 Aspirin partners are in DDInter; Vinblastine isn't one of them.</w:t>
      </w:r>
    </w:p>
    <w:p>
      <w:pPr>
        <w:spacing w:after="80"/>
      </w:pPr>
      <w:r>
        <w:rPr>
          <w:b/>
          <w:color w:val="1A1A2E"/>
          <w:sz w:val="22"/>
        </w:rPr>
        <w:t>What to say: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'Most tools just say no interaction found. DDI-Guard explains WHY: both drugs are in the database, but this pair was never studied. That's fundamentally different from confirming safety — and we say so explicitly.'</w:t>
      </w:r>
    </w:p>
    <w:p/>
    <w:p>
      <w:pPr>
        <w:spacing w:before="240" w:after="40"/>
      </w:pPr>
      <w:r>
        <w:rPr>
          <w:b/>
          <w:color w:val="3B5BDB"/>
          <w:sz w:val="26"/>
        </w:rPr>
        <w:t>Case 4: Aspirin + Vindesine  (vocabulary miss — not_in_vocabulary)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Panel 2:</w:t>
      </w:r>
      <w:r>
        <w:rPr>
          <w:color w:val="555555"/>
          <w:sz w:val="22"/>
        </w:rPr>
        <w:t xml:space="preserve"> GraphSAGE can still score it — works on SMILES alone, database-independent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Panel 3:</w:t>
      </w:r>
      <w:r>
        <w:rPr>
          <w:color w:val="555555"/>
          <w:sz w:val="22"/>
        </w:rPr>
        <w:t xml:space="preserve"> not_in_vocabulary — Vindesine is simply not in DDInter's drug catalogue at all. 511 of 1,705 TDC drugs fall into this category.</w:t>
      </w:r>
    </w:p>
    <w:p>
      <w:pPr>
        <w:spacing w:after="80"/>
      </w:pPr>
      <w:r>
        <w:rPr>
          <w:b/>
          <w:color w:val="1A1A2E"/>
          <w:sz w:val="22"/>
        </w:rPr>
        <w:t>What to say: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'511 of our 1,705 target drugs have no DDInter record at all. We tell the user exactly that — and point them to the GNN score as the only available signal. No other open tool makes this distinction.'</w:t>
      </w:r>
    </w:p>
    <w:p>
      <w:r>
        <w:br w:type="page"/>
      </w:r>
    </w:p>
    <w:p>
      <w:pPr>
        <w:spacing w:before="360" w:after="80"/>
        <w:pBdr>
          <w:bottom w:val="single" w:sz="6" w:space="4" w:color="3B5BDB"/>
        </w:pBdr>
      </w:pPr>
      <w:r>
        <w:rPr>
          <w:b/>
          <w:color w:val="1A1A2E"/>
          <w:sz w:val="32"/>
        </w:rPr>
        <w:t>6.  Technical Stack &amp; Engineering Decisions</w:t>
      </w:r>
    </w:p>
    <w:p>
      <w:pPr>
        <w:spacing w:before="240" w:after="40"/>
      </w:pPr>
      <w:r>
        <w:rPr>
          <w:b/>
          <w:color w:val="3B5BDB"/>
          <w:sz w:val="26"/>
        </w:rPr>
        <w:t>Backend (FastAPI + Uvicorn)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FastAPI chosen for auto-generated OpenAPI docs (/docs), Pydantic request validation, and async lifespan for one-time resource loading at startup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All heavy objects (GraphSAGE, ADMET-AI, DDInter DataFrame, drug catalogue) loaded once at startup via module singletons — zero per-request disk I/O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CORS enabled for localhost:8501 (Streamlit) and localhost:3000 (future React frontend)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Structured JSON responses with reason codes — frontend never needs to parse free text</w:t>
      </w:r>
    </w:p>
    <w:p>
      <w:pPr>
        <w:spacing w:before="240" w:after="40"/>
      </w:pPr>
      <w:r>
        <w:rPr>
          <w:b/>
          <w:color w:val="3B5BDB"/>
          <w:sz w:val="26"/>
        </w:rPr>
        <w:t>Frontend (Streamlit + Plotly)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Light theme forced via .streamlit/config.toml — white background, single blue accent, no dark mode confusion in demo environment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Input hash keyed to session_state — changing any input field forces fresh /analyze call, eliminating stale-cache bugs from the old Streamlit implementation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Plotly gauge chart (Indicator, gauge+number): green/yellow/red risk zones, animated needle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Plotly radar chart (Scatterpolar):</w:t>
      </w:r>
      <w:r>
        <w:rPr>
          <w:color w:val="555555"/>
          <w:sz w:val="22"/>
        </w:rPr>
        <w:t xml:space="preserve"> 3-axis ADMET view, filled polygon, hover tooltips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Static training convergence chart hardcoded from real logged values — no API call</w:t>
      </w:r>
    </w:p>
    <w:p>
      <w:pPr>
        <w:spacing w:before="240" w:after="40"/>
      </w:pPr>
      <w:r>
        <w:rPr>
          <w:b/>
          <w:color w:val="3B5BDB"/>
          <w:sz w:val="26"/>
        </w:rPr>
        <w:t>ML / Cheminformatics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RDKit Morgan fingerprints:</w:t>
      </w:r>
      <w:r>
        <w:rPr>
          <w:color w:val="555555"/>
          <w:sz w:val="22"/>
        </w:rPr>
        <w:t xml:space="preserve"> radius=2, 1024-bit — encodes atomic neighborhood up to 4 bonds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PyTorch Geometric SAGEConv:</w:t>
      </w:r>
      <w:r>
        <w:rPr>
          <w:color w:val="555555"/>
          <w:sz w:val="22"/>
        </w:rPr>
        <w:t xml:space="preserve"> inductive graph learning, works on unseen drugs at inference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ADMET-AI:</w:t>
      </w:r>
      <w:r>
        <w:rPr>
          <w:color w:val="555555"/>
          <w:sz w:val="22"/>
        </w:rPr>
        <w:t xml:space="preserve"> Chemprop ensemble, 2 model ensembles, Lightning-based prediction pipeline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TDC (Therapeutics Data Commons):</w:t>
      </w:r>
      <w:r>
        <w:rPr>
          <w:color w:val="555555"/>
          <w:sz w:val="22"/>
        </w:rPr>
        <w:t xml:space="preserve"> benchmark dataset with standardized train/val/test splits</w:t>
      </w:r>
    </w:p>
    <w:p>
      <w:pPr>
        <w:spacing w:before="240" w:after="40"/>
      </w:pPr>
      <w:r>
        <w:rPr>
          <w:b/>
          <w:color w:val="3B5BDB"/>
          <w:sz w:val="26"/>
        </w:rPr>
        <w:t>Key Engineering Choices Explained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Why GraphSAGE over GCN:</w:t>
      </w:r>
      <w:r>
        <w:rPr>
          <w:color w:val="555555"/>
          <w:sz w:val="22"/>
        </w:rPr>
        <w:t xml:space="preserve"> GraphSAGE is inductive — it can generate embeddings for nodes not seen during training (new drugs), whereas GCN is transductive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Why Hadamard product decoder:</w:t>
      </w:r>
      <w:r>
        <w:rPr>
          <w:color w:val="555555"/>
          <w:sz w:val="22"/>
        </w:rPr>
        <w:t xml:space="preserve"> element-wise product of node embeddings captures feature co-activation patterns — more expressive than concatenation for symmetric interaction prediction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Why best-checkpoint saving:</w:t>
      </w:r>
      <w:r>
        <w:rPr>
          <w:color w:val="555555"/>
          <w:sz w:val="22"/>
        </w:rPr>
        <w:t xml:space="preserve"> training with LR=0.005 showed val AUC dipping to 0.55 at epoch 10 before recovering. Best-checkpoint guarantees the saved model corresponds to peak generalization, not an arbitrary final epoch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Why RandomLinkSplit:</w:t>
      </w:r>
      <w:r>
        <w:rPr>
          <w:color w:val="555555"/>
          <w:sz w:val="22"/>
        </w:rPr>
        <w:t xml:space="preserve"> prevents message-passing graph from seeing test edges during aggregation — critical for valid link prediction evaluation</w:t>
      </w:r>
    </w:p>
    <w:p>
      <w:r>
        <w:br w:type="page"/>
      </w:r>
    </w:p>
    <w:p>
      <w:pPr>
        <w:spacing w:before="360" w:after="80"/>
        <w:pBdr>
          <w:bottom w:val="single" w:sz="6" w:space="4" w:color="3B5BDB"/>
        </w:pBdr>
      </w:pPr>
      <w:r>
        <w:rPr>
          <w:b/>
          <w:color w:val="1A1A2E"/>
          <w:sz w:val="32"/>
        </w:rPr>
        <w:t>7.  Impact &amp; Future Roadmap</w:t>
      </w:r>
    </w:p>
    <w:p>
      <w:pPr>
        <w:spacing w:before="240" w:after="40"/>
      </w:pPr>
      <w:r>
        <w:rPr>
          <w:b/>
          <w:color w:val="3B5BDB"/>
          <w:sz w:val="26"/>
        </w:rPr>
        <w:t>Immediate Impact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Medicinal chemists can screen novel candidates against 1,705 approved drugs in seconds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The GNN scores any valid SMILES — compounds not yet in any database are fully supported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Transparent failure modes prevent clinicians from misinterpreting 'no evidence' as 'safe'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Open source, self-hosted, no API key or account required</w:t>
      </w:r>
    </w:p>
    <w:p>
      <w:pPr>
        <w:spacing w:before="240" w:after="40"/>
      </w:pPr>
      <w:r>
        <w:rPr>
          <w:b/>
          <w:color w:val="3B5BDB"/>
          <w:sz w:val="26"/>
        </w:rPr>
        <w:t>Limitations (honest assessment)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GraphSAGE predicts binary interaction probability, not severity type — cannot yet differentiate pharmacokinetic from pharmacodynamic interactions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Val ROC-AUC of 0.7772 is a solid proof-of-concept but would need to reach &gt;0.85 for clinical deployment consideration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DDInter coverage gap:</w:t>
      </w:r>
      <w:r>
        <w:rPr>
          <w:color w:val="555555"/>
          <w:sz w:val="22"/>
        </w:rPr>
        <w:t xml:space="preserve"> 511/1,705 TDC drugs have no clinical evidence record — these drugs rely entirely on the GNN signal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ADMET-AI drops the last batch of size 1 (known chemprop batch-norm issue) — minor performance warning, no effect on output correctness</w:t>
      </w:r>
    </w:p>
    <w:p>
      <w:pPr>
        <w:spacing w:before="240" w:after="40"/>
      </w:pPr>
      <w:r>
        <w:rPr>
          <w:b/>
          <w:color w:val="3B5BDB"/>
          <w:sz w:val="26"/>
        </w:rPr>
        <w:t>Future Roadmap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Multi-relational GNN (RGCN / Decagon):</w:t>
      </w:r>
      <w:r>
        <w:rPr>
          <w:color w:val="555555"/>
          <w:sz w:val="22"/>
        </w:rPr>
        <w:t xml:space="preserve"> predict interaction type and severity directly, replacing binary classification with severity-level multi-class prediction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GNN explainability:</w:t>
      </w:r>
      <w:r>
        <w:rPr>
          <w:color w:val="555555"/>
          <w:sz w:val="22"/>
        </w:rPr>
        <w:t xml:space="preserve"> integrate GNNExplainer or Integrated Gradients to highlight the specific substructures responsible for the predicted interaction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NLP mechanism extraction:</w:t>
      </w:r>
      <w:r>
        <w:rPr>
          <w:color w:val="555555"/>
          <w:sz w:val="22"/>
        </w:rPr>
        <w:t xml:space="preserve"> use a biomedical LLM (PubMedBERT, BioGPT) to extract mechanistic text from FDA package inserts and populate the mechanism field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Expand DDInter coverage:</w:t>
      </w:r>
      <w:r>
        <w:rPr>
          <w:color w:val="555555"/>
          <w:sz w:val="22"/>
        </w:rPr>
        <w:t xml:space="preserve"> integrate SIDER, OFFSIDES, and FAERS adverse event databases to reduce the 511-drug vocabulary gap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REST API productionization:</w:t>
      </w:r>
      <w:r>
        <w:rPr>
          <w:color w:val="555555"/>
          <w:sz w:val="22"/>
        </w:rPr>
        <w:t xml:space="preserve"> Kubernetes deployment with Redis caching for drug catalogue, rate limiting, and authentication for institutional use</w:t>
      </w:r>
    </w:p>
    <w:p>
      <w:r>
        <w:br w:type="page"/>
      </w:r>
    </w:p>
    <w:p>
      <w:pPr>
        <w:spacing w:before="360" w:after="80"/>
        <w:pBdr>
          <w:bottom w:val="single" w:sz="6" w:space="4" w:color="3B5BDB"/>
        </w:pBdr>
      </w:pPr>
      <w:r>
        <w:rPr>
          <w:b/>
          <w:color w:val="1A1A2E"/>
          <w:sz w:val="32"/>
        </w:rPr>
        <w:t>8.  Hackathon Talking Points — Quick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Use this section for 3-minute demo pitches. Know these numbers cold.</w:t>
            </w:r>
          </w:p>
        </w:tc>
      </w:tr>
    </w:tbl>
    <w:p/>
    <w:p>
      <w:pPr>
        <w:spacing w:before="240" w:after="40"/>
      </w:pPr>
      <w:r>
        <w:rPr>
          <w:b/>
          <w:color w:val="3B5BDB"/>
          <w:sz w:val="26"/>
        </w:rPr>
        <w:t>The Hook (first 30 seconds)</w:t>
      </w:r>
    </w:p>
    <w:p>
      <w:pPr>
        <w:spacing w:after="80"/>
      </w:pPr>
      <w:r>
        <w:rPr>
          <w:color w:val="555555"/>
          <w:sz w:val="22"/>
        </w:rPr>
        <w:t>30% of adverse drug events come from Drug-Drug Interactions. Every existing tool gives you one signal. We built the only tool that gives you three — simultaneously, instantly, for any molecule you can write as a SMILES string.</w:t>
      </w:r>
    </w:p>
    <w:p>
      <w:pPr>
        <w:spacing w:before="240" w:after="40"/>
      </w:pPr>
      <w:r>
        <w:rPr>
          <w:b/>
          <w:color w:val="3B5BDB"/>
          <w:sz w:val="26"/>
        </w:rPr>
        <w:t>The Numbers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191,878 known DDI pairs used for training (TDC DrugBank benchmark)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1,705 approved target drugs in the dropdown — all with resolved human-readable names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156,858 clinical evidence records from DDInter (7 ATC drug categories)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99.7% name resolution rate (1,700/1,705 DrugBank IDs → clinical names)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Val ROC-AUC:</w:t>
      </w:r>
      <w:r>
        <w:rPr>
          <w:color w:val="555555"/>
          <w:sz w:val="22"/>
        </w:rPr>
        <w:t xml:space="preserve"> 0.7772 in 30 epochs, 7 seconds, on a laptop (M1 MacBook Air)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654 DDInter-documented partners for Aspirin alone</w:t>
      </w:r>
    </w:p>
    <w:p>
      <w:pPr>
        <w:spacing w:before="240" w:after="40"/>
      </w:pPr>
      <w:r>
        <w:rPr>
          <w:b/>
          <w:color w:val="3B5BDB"/>
          <w:sz w:val="26"/>
        </w:rPr>
        <w:t>The Differentiators (say these out loud)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'We are the only tool that distinguishes between no_record and not_in_vocabulary. That distinction matters clinically.'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'Our GNN works on any SMILES — you don't need the drug to be in any database.'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'We engineered a 3-layer entity resolution pipeline to bridge the ID-to-name gap that has always existed between TDC DrugBank data and clinical databases.'</w:t>
      </w:r>
    </w:p>
    <w:p>
      <w:pPr>
        <w:pStyle w:val="ListBullet"/>
        <w:spacing w:after="60"/>
        <w:ind w:left="360"/>
      </w:pPr>
      <w:r>
        <w:rPr>
          <w:color w:val="555555"/>
          <w:sz w:val="22"/>
        </w:rPr>
        <w:t>'Every /analyze call is stateless and verified fresh — no stale cache bugs.'</w:t>
      </w:r>
    </w:p>
    <w:p>
      <w:pPr>
        <w:spacing w:before="240" w:after="40"/>
      </w:pPr>
      <w:r>
        <w:rPr>
          <w:b/>
          <w:color w:val="3B5BDB"/>
          <w:sz w:val="26"/>
        </w:rPr>
        <w:t>The Demo Flow (2 minutes)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Step 1:</w:t>
      </w:r>
      <w:r>
        <w:rPr>
          <w:color w:val="555555"/>
          <w:sz w:val="22"/>
        </w:rPr>
        <w:t xml:space="preserve"> Show the dropdown — 1,705 drug names, all human-readable (not DB00945)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Step 2:</w:t>
      </w:r>
      <w:r>
        <w:rPr>
          <w:color w:val="555555"/>
          <w:sz w:val="22"/>
        </w:rPr>
        <w:t xml:space="preserve"> Aspirin + Warfarin — point to the MAJOR badge. Explain alias resolution.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Step 3:</w:t>
      </w:r>
      <w:r>
        <w:rPr>
          <w:color w:val="555555"/>
          <w:sz w:val="22"/>
        </w:rPr>
        <w:t xml:space="preserve"> Change target to Vinblastine — show the no_record message. Explain the distinction.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Step 4:</w:t>
      </w:r>
      <w:r>
        <w:rPr>
          <w:color w:val="555555"/>
          <w:sz w:val="22"/>
        </w:rPr>
        <w:t xml:space="preserve"> Change target to a less-common drug — show not_in_vocabulary, then point to the GNN score: 'That GNN number is the only signal available — and we say so.'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Step 5:</w:t>
      </w:r>
      <w:r>
        <w:rPr>
          <w:color w:val="555555"/>
          <w:sz w:val="22"/>
        </w:rPr>
        <w:t xml:space="preserve"> Open Model Performance expander — show the real training curve, 0.7772 AUC.</w:t>
      </w:r>
    </w:p>
    <w:p>
      <w:pPr>
        <w:spacing w:before="240" w:after="40"/>
      </w:pPr>
      <w:r>
        <w:rPr>
          <w:b/>
          <w:color w:val="3B5BDB"/>
          <w:sz w:val="26"/>
        </w:rPr>
        <w:t>Likely Judge Questions &amp; Answers</w:t>
      </w:r>
    </w:p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Q:</w:t>
      </w:r>
      <w:r>
        <w:rPr>
          <w:color w:val="555555"/>
          <w:sz w:val="22"/>
        </w:rPr>
        <w:t xml:space="preserve"> Why not just use a lookup table?</w:t>
      </w:r>
    </w:p>
    <w:p>
      <w:pPr>
        <w:pStyle w:val="ListBullet"/>
        <w:spacing w:after="60"/>
        <w:ind w:left="720"/>
      </w:pPr>
      <w:r>
        <w:rPr>
          <w:b/>
          <w:color w:val="1A1A2E"/>
          <w:sz w:val="22"/>
        </w:rPr>
        <w:t>A:</w:t>
      </w:r>
      <w:r>
        <w:rPr>
          <w:color w:val="555555"/>
          <w:sz w:val="22"/>
        </w:rPr>
        <w:t xml:space="preserve"> Because 511 of our 1,705 drugs have NO clinical record. And novel compounds invented tomorrow will never be in any lookup table. The GNN covers both.</w:t>
      </w:r>
    </w:p>
    <w:p/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Q:</w:t>
      </w:r>
      <w:r>
        <w:rPr>
          <w:color w:val="555555"/>
          <w:sz w:val="22"/>
        </w:rPr>
        <w:t xml:space="preserve"> What's the clinical applicability?</w:t>
      </w:r>
    </w:p>
    <w:p>
      <w:pPr>
        <w:pStyle w:val="ListBullet"/>
        <w:spacing w:after="60"/>
        <w:ind w:left="720"/>
      </w:pPr>
      <w:r>
        <w:rPr>
          <w:b/>
          <w:color w:val="1A1A2E"/>
          <w:sz w:val="22"/>
        </w:rPr>
        <w:t>A:</w:t>
      </w:r>
      <w:r>
        <w:rPr>
          <w:color w:val="555555"/>
          <w:sz w:val="22"/>
        </w:rPr>
        <w:t xml:space="preserve"> This is a drug discovery / early medicinal chemistry tool — not a prescribing aid. It flags risk signals that a chemist should investigate before progressing a lead compound.</w:t>
      </w:r>
    </w:p>
    <w:p/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Q:</w:t>
      </w:r>
      <w:r>
        <w:rPr>
          <w:color w:val="555555"/>
          <w:sz w:val="22"/>
        </w:rPr>
        <w:t xml:space="preserve"> How did you validate?</w:t>
      </w:r>
    </w:p>
    <w:p>
      <w:pPr>
        <w:pStyle w:val="ListBullet"/>
        <w:spacing w:after="60"/>
        <w:ind w:left="720"/>
      </w:pPr>
      <w:r>
        <w:rPr>
          <w:b/>
          <w:color w:val="1A1A2E"/>
          <w:sz w:val="22"/>
        </w:rPr>
        <w:t>A:</w:t>
      </w:r>
      <w:r>
        <w:rPr>
          <w:color w:val="555555"/>
          <w:sz w:val="22"/>
        </w:rPr>
        <w:t xml:space="preserve"> Three ways: (1) held-out test split via RandomLinkSplit, (2) end-to-end simulation with Aspirin+Warfarin matching known clinical MAJOR severity, (3) diagnostic script confirming that 'no record' returns are genuine data gaps, not matching bugs.</w:t>
      </w:r>
    </w:p>
    <w:p/>
    <w:p>
      <w:pPr>
        <w:pStyle w:val="ListBullet"/>
        <w:spacing w:after="60"/>
        <w:ind w:left="360"/>
      </w:pPr>
      <w:r>
        <w:rPr>
          <w:b/>
          <w:color w:val="1A1A2E"/>
          <w:sz w:val="22"/>
        </w:rPr>
        <w:t>Q:</w:t>
      </w:r>
      <w:r>
        <w:rPr>
          <w:color w:val="555555"/>
          <w:sz w:val="22"/>
        </w:rPr>
        <w:t xml:space="preserve"> Why Streamlit and not a proper React app?</w:t>
      </w:r>
    </w:p>
    <w:p>
      <w:pPr>
        <w:pStyle w:val="ListBullet"/>
        <w:spacing w:after="60"/>
        <w:ind w:left="720"/>
      </w:pPr>
      <w:r>
        <w:rPr>
          <w:b/>
          <w:color w:val="1A1A2E"/>
          <w:sz w:val="22"/>
        </w:rPr>
        <w:t>A:</w:t>
      </w:r>
      <w:r>
        <w:rPr>
          <w:color w:val="555555"/>
          <w:sz w:val="22"/>
        </w:rPr>
        <w:t xml:space="preserve"> Hackathon. We prioritized end-to-end functionality over UI polish. The backend is a clean FastAPI service — connecting a React frontend is a one-afternoon task.</w:t>
      </w:r>
    </w:p>
    <w:p>
      <w:r>
        <w:br w:type="page"/>
      </w:r>
    </w:p>
    <w:p>
      <w:pPr>
        <w:spacing w:before="1200"/>
        <w:jc w:val="center"/>
      </w:pPr>
      <w:r>
        <w:rPr>
          <w:color w:val="555555"/>
          <w:sz w:val="24"/>
        </w:rPr>
        <w:t>DDI-Guard  ·  Open Source  ·  2026</w:t>
      </w:r>
    </w:p>
    <w:p>
      <w:pPr>
        <w:jc w:val="center"/>
      </w:pPr>
      <w:r>
        <w:rPr>
          <w:b/>
          <w:color w:val="3B5BDB"/>
          <w:sz w:val="22"/>
        </w:rPr>
        <w:t>github.com/DataWitchee/DD_Interactions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