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Data Collection</w:t>
      </w:r>
    </w:p>
    <w:p>
      <w:pPr>
        <w:pStyle w:val="Heading2"/>
      </w:pPr>
      <w:r>
        <w:t>1.1 Data Sources</w:t>
      </w:r>
    </w:p>
    <w:p>
      <w:r>
        <w:t>The primary dataset for this project is RNA-seq gene expression data from The Cancer Genome Atlas (TCGA) Colon Adenocarcinoma (COAD) cohort. This dataset contains STAR-aligned read counts for 20,598 genes across 514 patient samples (473 tumor, 41 normal tissue). The data is publicly available through the Genomic Data Commons (GDC) Portal.</w:t>
      </w:r>
    </w:p>
    <w:p>
      <w:pPr>
        <w:pStyle w:val="Heading3"/>
      </w:pPr>
      <w:r>
        <w:t>Data Source Links</w:t>
      </w:r>
    </w:p>
    <w:p>
      <w:pPr>
        <w:pStyle w:val="ListBullet"/>
      </w:pPr>
      <w:r>
        <w:rPr>
          <w:b/>
        </w:rPr>
        <w:t xml:space="preserve">TCGA-COAD RNA-seq Counts: </w:t>
      </w:r>
      <w:r>
        <w:t>https://portal.gdc.cancer.gov/projects/TCGA-COAD</w:t>
        <w:br/>
        <w:t>Primary gene expression dataset (STAR-Counts, log2(counts+1))</w:t>
      </w:r>
    </w:p>
    <w:p>
      <w:pPr>
        <w:pStyle w:val="ListBullet"/>
      </w:pPr>
      <w:r>
        <w:rPr>
          <w:b/>
        </w:rPr>
        <w:t xml:space="preserve">g:Profiler: </w:t>
      </w:r>
      <w:r>
        <w:t>https://biit.cs.ut.ee/gprofiler/</w:t>
        <w:br/>
        <w:t>Multi-database pathway enrichment API querying GO:BP, KEGG, Reactome, and WikiPathways</w:t>
      </w:r>
    </w:p>
    <w:p>
      <w:pPr>
        <w:pStyle w:val="ListBullet"/>
      </w:pPr>
      <w:r>
        <w:rPr>
          <w:b/>
        </w:rPr>
        <w:t xml:space="preserve">mygene.info API: </w:t>
      </w:r>
      <w:r>
        <w:t>https://mygene.info/v3/query</w:t>
        <w:br/>
        <w:t>Gene ID mapping service (Ensembl ID to gene symbol conversion)</w:t>
      </w:r>
    </w:p>
    <w:p>
      <w:pPr>
        <w:pStyle w:val="ListBullet"/>
      </w:pPr>
      <w:r>
        <w:rPr>
          <w:b/>
        </w:rPr>
        <w:t xml:space="preserve">PubMed / NCBI E-utilities: </w:t>
      </w:r>
      <w:r>
        <w:t>https://eutils.ncbi.nlm.nih.gov/entrez/eutils/</w:t>
        <w:br/>
        <w:t>Literature retrieval via esearch/efetch APIs with CRC-specific query templates</w:t>
      </w:r>
    </w:p>
    <w:p>
      <w:pPr>
        <w:pStyle w:val="ListBullet"/>
      </w:pPr>
      <w:r>
        <w:rPr>
          <w:b/>
        </w:rPr>
        <w:t xml:space="preserve">Anthropic Claude API: </w:t>
      </w:r>
      <w:r>
        <w:t>https://docs.anthropic.com/en/docs/</w:t>
        <w:br/>
        <w:t>LLM-based literature relevance scoring and interactive chat for data exploration</w:t>
      </w:r>
    </w:p>
    <w:p>
      <w:pPr>
        <w:pStyle w:val="Heading2"/>
      </w:pPr>
      <w:r>
        <w:t>1.2 Tools Used for Data Collection</w:t>
      </w:r>
    </w:p>
    <w:p>
      <w:pPr>
        <w:pStyle w:val="ListBullet"/>
      </w:pPr>
      <w:r>
        <w:rPr>
          <w:b/>
        </w:rPr>
        <w:t xml:space="preserve">GDC Data Transfer Client / Portal: </w:t>
      </w:r>
      <w:r>
        <w:t>Used to download the TCGA-COAD STAR-Counts gene expression matrix in TSV format.</w:t>
      </w:r>
    </w:p>
    <w:p>
      <w:pPr>
        <w:pStyle w:val="ListBullet"/>
      </w:pPr>
      <w:r>
        <w:rPr>
          <w:b/>
        </w:rPr>
        <w:t xml:space="preserve">requests (Python HTTP client): </w:t>
      </w:r>
      <w:r>
        <w:t>Used to query the NCBI E-Utilities API for PubMed literature retrieval and the g:Profiler REST API for pathway enrichment.</w:t>
      </w:r>
    </w:p>
    <w:p>
      <w:pPr>
        <w:pStyle w:val="ListBullet"/>
      </w:pPr>
      <w:r>
        <w:rPr>
          <w:b/>
        </w:rPr>
        <w:t xml:space="preserve">anthropic (Python SDK): </w:t>
      </w:r>
      <w:r>
        <w:t>Used to call the Claude API for LLM-based literature relevance scoring and the interactive chat feature in the web UI.</w:t>
      </w:r>
    </w:p>
    <w:p>
      <w:pPr>
        <w:pStyle w:val="ListBullet"/>
      </w:pPr>
      <w:r>
        <w:rPr>
          <w:b/>
        </w:rPr>
        <w:t xml:space="preserve">pandas: </w:t>
      </w:r>
      <w:r>
        <w:t>Used for loading, transforming, and storing tabular data throughout the pipeline.</w:t>
      </w:r>
    </w:p>
    <w:p>
      <w:pPr>
        <w:pStyle w:val="ListBullet"/>
      </w:pPr>
      <w:r>
        <w:rPr>
          <w:b/>
        </w:rPr>
        <w:t xml:space="preserve">scipy: </w:t>
      </w:r>
      <w:r>
        <w:t>Used for statistical testing (Welch's t-test) during differential expression analysis.</w:t>
      </w:r>
    </w:p>
    <w:p>
      <w:pPr>
        <w:pStyle w:val="ListBullet"/>
      </w:pPr>
      <w:r>
        <w:rPr>
          <w:b/>
        </w:rPr>
        <w:t xml:space="preserve">FastAPI + Uvicorn: </w:t>
      </w:r>
      <w:r>
        <w:t>Used to serve the Evidence Browser web UI with REST API endpoints for gene data, LLM chat, and interactive exploration.</w:t>
      </w:r>
    </w:p>
    <w:p>
      <w:pPr>
        <w:pStyle w:val="Heading2"/>
      </w:pPr>
      <w:r>
        <w:t>1.3 Data Storage</w:t>
      </w:r>
    </w:p>
    <w:p>
      <w:r>
        <w:t>All datasets are stored as flat files (TSV and CSV) in the project directory structure. Raw input data resides in the data/ directory, while pipeline outputs are written to the outputs/ directory. Both directories are excluded from version control via .gitignore to prevent accidental commits of large data files. Intermediate caches (e.g., gene symbol mappings) are stored in the data/ directory for reuse across pipeline runs.</w:t>
      </w:r>
    </w:p>
    <w:p>
      <w:pPr>
        <w:pStyle w:val="Heading2"/>
      </w:pPr>
      <w:r>
        <w:t>1.4 Data Catalog</w:t>
      </w:r>
    </w:p>
    <w:p>
      <w:r>
        <w:t>The following table provides a catalog of all datasets used and produced by the pipeline.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Dataset Name</w:t>
            </w:r>
          </w:p>
        </w:tc>
        <w:tc>
          <w:tcPr>
            <w:tcW w:type="dxa" w:w="1440"/>
          </w:tcPr>
          <w:p>
            <w:r>
              <w:rPr>
                <w:b/>
                <w:sz w:val="20"/>
              </w:rPr>
              <w:t>Size</w:t>
            </w:r>
          </w:p>
        </w:tc>
        <w:tc>
          <w:tcPr>
            <w:tcW w:type="dxa" w:w="1440"/>
          </w:tcPr>
          <w:p>
            <w:r>
              <w:rPr>
                <w:b/>
                <w:sz w:val="20"/>
              </w:rPr>
              <w:t>Rows</w:t>
            </w:r>
          </w:p>
        </w:tc>
        <w:tc>
          <w:tcPr>
            <w:tcW w:type="dxa" w:w="1440"/>
          </w:tcPr>
          <w:p>
            <w:r>
              <w:rPr>
                <w:b/>
                <w:sz w:val="20"/>
              </w:rPr>
              <w:t>Columns</w:t>
            </w:r>
          </w:p>
        </w:tc>
        <w:tc>
          <w:tcPr>
            <w:tcW w:type="dxa" w:w="1440"/>
          </w:tcPr>
          <w:p>
            <w:r>
              <w:rPr>
                <w:b/>
                <w:sz w:val="20"/>
              </w:rPr>
              <w:t>Type</w:t>
            </w:r>
          </w:p>
        </w:tc>
        <w:tc>
          <w:tcPr>
            <w:tcW w:type="dxa" w:w="1440"/>
          </w:tcPr>
          <w:p>
            <w:r>
              <w:rPr>
                <w:b/>
                <w:sz w:val="20"/>
              </w:rPr>
              <w:t>Source</w:t>
            </w:r>
          </w:p>
        </w:tc>
      </w:tr>
      <w:tr>
        <w:tc>
          <w:tcPr>
            <w:tcW w:type="dxa" w:w="1440"/>
          </w:tcPr>
          <w:p>
            <w:r>
              <w:rPr>
                <w:sz w:val="20"/>
              </w:rPr>
              <w:t>TCGA-COAD.star_counts.tsv</w:t>
            </w:r>
          </w:p>
        </w:tc>
        <w:tc>
          <w:tcPr>
            <w:tcW w:type="dxa" w:w="1440"/>
          </w:tcPr>
          <w:p>
            <w:r>
              <w:rPr>
                <w:sz w:val="20"/>
              </w:rPr>
              <w:t>284 MB</w:t>
            </w:r>
          </w:p>
        </w:tc>
        <w:tc>
          <w:tcPr>
            <w:tcW w:type="dxa" w:w="1440"/>
          </w:tcPr>
          <w:p>
            <w:r>
              <w:rPr>
                <w:sz w:val="20"/>
              </w:rPr>
              <w:t>20,598</w:t>
            </w:r>
          </w:p>
        </w:tc>
        <w:tc>
          <w:tcPr>
            <w:tcW w:type="dxa" w:w="1440"/>
          </w:tcPr>
          <w:p>
            <w:r>
              <w:rPr>
                <w:sz w:val="20"/>
              </w:rPr>
              <w:t>515 (1 gene ID + 514 samples)</w:t>
            </w:r>
          </w:p>
        </w:tc>
        <w:tc>
          <w:tcPr>
            <w:tcW w:type="dxa" w:w="1440"/>
          </w:tcPr>
          <w:p>
            <w:r>
              <w:rPr>
                <w:sz w:val="20"/>
              </w:rPr>
              <w:t>TSV</w:t>
            </w:r>
          </w:p>
        </w:tc>
        <w:tc>
          <w:tcPr>
            <w:tcW w:type="dxa" w:w="1440"/>
          </w:tcPr>
          <w:p>
            <w:r>
              <w:rPr>
                <w:sz w:val="20"/>
              </w:rPr>
              <w:t>GDC Portal (https://portal.gdc.cancer.gov)</w:t>
            </w:r>
          </w:p>
        </w:tc>
      </w:tr>
      <w:tr>
        <w:tc>
          <w:tcPr>
            <w:tcW w:type="dxa" w:w="1440"/>
          </w:tcPr>
          <w:p>
            <w:r>
              <w:rPr>
                <w:sz w:val="20"/>
              </w:rPr>
              <w:t>ensembl_to_symbol_cache.tsv</w:t>
            </w:r>
          </w:p>
        </w:tc>
        <w:tc>
          <w:tcPr>
            <w:tcW w:type="dxa" w:w="1440"/>
          </w:tcPr>
          <w:p>
            <w:r>
              <w:rPr>
                <w:sz w:val="20"/>
              </w:rPr>
              <w:t>675 KB</w:t>
            </w:r>
          </w:p>
        </w:tc>
        <w:tc>
          <w:tcPr>
            <w:tcW w:type="dxa" w:w="1440"/>
          </w:tcPr>
          <w:p>
            <w:r>
              <w:rPr>
                <w:sz w:val="20"/>
              </w:rPr>
              <w:t>29,395</w:t>
            </w:r>
          </w:p>
        </w:tc>
        <w:tc>
          <w:tcPr>
            <w:tcW w:type="dxa" w:w="1440"/>
          </w:tcPr>
          <w:p>
            <w:r>
              <w:rPr>
                <w:sz w:val="20"/>
              </w:rPr>
              <w:t>2 (ensembl_id, gene_symbol)</w:t>
            </w:r>
          </w:p>
        </w:tc>
        <w:tc>
          <w:tcPr>
            <w:tcW w:type="dxa" w:w="1440"/>
          </w:tcPr>
          <w:p>
            <w:r>
              <w:rPr>
                <w:sz w:val="20"/>
              </w:rPr>
              <w:t>TSV</w:t>
            </w:r>
          </w:p>
        </w:tc>
        <w:tc>
          <w:tcPr>
            <w:tcW w:type="dxa" w:w="1440"/>
          </w:tcPr>
          <w:p>
            <w:r>
              <w:rPr>
                <w:sz w:val="20"/>
              </w:rPr>
              <w:t>mygene.info API (cached locally)</w:t>
            </w:r>
          </w:p>
        </w:tc>
      </w:tr>
      <w:tr>
        <w:tc>
          <w:tcPr>
            <w:tcW w:type="dxa" w:w="1440"/>
          </w:tcPr>
          <w:p>
            <w:r>
              <w:rPr>
                <w:sz w:val="20"/>
              </w:rPr>
              <w:t>omics_evidence.csv</w:t>
            </w:r>
          </w:p>
        </w:tc>
        <w:tc>
          <w:tcPr>
            <w:tcW w:type="dxa" w:w="1440"/>
          </w:tcPr>
          <w:p>
            <w:r>
              <w:rPr>
                <w:sz w:val="20"/>
              </w:rPr>
              <w:t>5.1 MB</w:t>
            </w:r>
          </w:p>
        </w:tc>
        <w:tc>
          <w:tcPr>
            <w:tcW w:type="dxa" w:w="1440"/>
          </w:tcPr>
          <w:p>
            <w:r>
              <w:rPr>
                <w:sz w:val="20"/>
              </w:rPr>
              <w:t>36,519</w:t>
            </w:r>
          </w:p>
        </w:tc>
        <w:tc>
          <w:tcPr>
            <w:tcW w:type="dxa" w:w="1440"/>
          </w:tcPr>
          <w:p>
            <w:r>
              <w:rPr>
                <w:sz w:val="20"/>
              </w:rPr>
              <w:t>9</w:t>
            </w:r>
          </w:p>
        </w:tc>
        <w:tc>
          <w:tcPr>
            <w:tcW w:type="dxa" w:w="1440"/>
          </w:tcPr>
          <w:p>
            <w:r>
              <w:rPr>
                <w:sz w:val="20"/>
              </w:rPr>
              <w:t>CSV</w:t>
            </w:r>
          </w:p>
        </w:tc>
        <w:tc>
          <w:tcPr>
            <w:tcW w:type="dxa" w:w="1440"/>
          </w:tcPr>
          <w:p>
            <w:r>
              <w:rPr>
                <w:sz w:val="20"/>
              </w:rPr>
              <w:t>Pipeline output (omics module)</w:t>
            </w:r>
          </w:p>
        </w:tc>
      </w:tr>
      <w:tr>
        <w:tc>
          <w:tcPr>
            <w:tcW w:type="dxa" w:w="1440"/>
          </w:tcPr>
          <w:p>
            <w:r>
              <w:rPr>
                <w:sz w:val="20"/>
              </w:rPr>
              <w:t>candidates.csv</w:t>
            </w:r>
          </w:p>
        </w:tc>
        <w:tc>
          <w:tcPr>
            <w:tcW w:type="dxa" w:w="1440"/>
          </w:tcPr>
          <w:p>
            <w:r>
              <w:rPr>
                <w:sz w:val="20"/>
              </w:rPr>
              <w:t>37 KB</w:t>
            </w:r>
          </w:p>
        </w:tc>
        <w:tc>
          <w:tcPr>
            <w:tcW w:type="dxa" w:w="1440"/>
          </w:tcPr>
          <w:p>
            <w:r>
              <w:rPr>
                <w:sz w:val="20"/>
              </w:rPr>
              <w:t>500</w:t>
            </w:r>
          </w:p>
        </w:tc>
        <w:tc>
          <w:tcPr>
            <w:tcW w:type="dxa" w:w="1440"/>
          </w:tcPr>
          <w:p>
            <w:r>
              <w:rPr>
                <w:sz w:val="20"/>
              </w:rPr>
              <w:t>6</w:t>
            </w:r>
          </w:p>
        </w:tc>
        <w:tc>
          <w:tcPr>
            <w:tcW w:type="dxa" w:w="1440"/>
          </w:tcPr>
          <w:p>
            <w:r>
              <w:rPr>
                <w:sz w:val="20"/>
              </w:rPr>
              <w:t>CSV</w:t>
            </w:r>
          </w:p>
        </w:tc>
        <w:tc>
          <w:tcPr>
            <w:tcW w:type="dxa" w:w="1440"/>
          </w:tcPr>
          <w:p>
            <w:r>
              <w:rPr>
                <w:sz w:val="20"/>
              </w:rPr>
              <w:t>Pipeline output (candidate selection)</w:t>
            </w:r>
          </w:p>
        </w:tc>
      </w:tr>
      <w:tr>
        <w:tc>
          <w:tcPr>
            <w:tcW w:type="dxa" w:w="1440"/>
          </w:tcPr>
          <w:p>
            <w:r>
              <w:rPr>
                <w:sz w:val="20"/>
              </w:rPr>
              <w:t>pathway_evidence.csv</w:t>
            </w:r>
          </w:p>
        </w:tc>
        <w:tc>
          <w:tcPr>
            <w:tcW w:type="dxa" w:w="1440"/>
          </w:tcPr>
          <w:p>
            <w:r>
              <w:rPr>
                <w:sz w:val="20"/>
              </w:rPr>
              <w:t>73 KB</w:t>
            </w:r>
          </w:p>
        </w:tc>
        <w:tc>
          <w:tcPr>
            <w:tcW w:type="dxa" w:w="1440"/>
          </w:tcPr>
          <w:p>
            <w:r>
              <w:rPr>
                <w:sz w:val="20"/>
              </w:rPr>
              <w:t>500</w:t>
            </w:r>
          </w:p>
        </w:tc>
        <w:tc>
          <w:tcPr>
            <w:tcW w:type="dxa" w:w="1440"/>
          </w:tcPr>
          <w:p>
            <w:r>
              <w:rPr>
                <w:sz w:val="20"/>
              </w:rPr>
              <w:t>3</w:t>
            </w:r>
          </w:p>
        </w:tc>
        <w:tc>
          <w:tcPr>
            <w:tcW w:type="dxa" w:w="1440"/>
          </w:tcPr>
          <w:p>
            <w:r>
              <w:rPr>
                <w:sz w:val="20"/>
              </w:rPr>
              <w:t>CSV</w:t>
            </w:r>
          </w:p>
        </w:tc>
        <w:tc>
          <w:tcPr>
            <w:tcW w:type="dxa" w:w="1440"/>
          </w:tcPr>
          <w:p>
            <w:r>
              <w:rPr>
                <w:sz w:val="20"/>
              </w:rPr>
              <w:t>Pipeline output (g:Profiler enrichment)</w:t>
            </w:r>
          </w:p>
        </w:tc>
      </w:tr>
      <w:tr>
        <w:tc>
          <w:tcPr>
            <w:tcW w:type="dxa" w:w="1440"/>
          </w:tcPr>
          <w:p>
            <w:r>
              <w:rPr>
                <w:sz w:val="20"/>
              </w:rPr>
              <w:t>lit_evidence.csv</w:t>
            </w:r>
          </w:p>
        </w:tc>
        <w:tc>
          <w:tcPr>
            <w:tcW w:type="dxa" w:w="1440"/>
          </w:tcPr>
          <w:p>
            <w:r>
              <w:rPr>
                <w:sz w:val="20"/>
              </w:rPr>
              <w:t>693 KB</w:t>
            </w:r>
          </w:p>
        </w:tc>
        <w:tc>
          <w:tcPr>
            <w:tcW w:type="dxa" w:w="1440"/>
          </w:tcPr>
          <w:p>
            <w:r>
              <w:rPr>
                <w:sz w:val="20"/>
              </w:rPr>
              <w:t>~1,566</w:t>
            </w:r>
          </w:p>
        </w:tc>
        <w:tc>
          <w:tcPr>
            <w:tcW w:type="dxa" w:w="1440"/>
          </w:tcPr>
          <w:p>
            <w:r>
              <w:rPr>
                <w:sz w:val="20"/>
              </w:rPr>
              <w:t>5</w:t>
            </w:r>
          </w:p>
        </w:tc>
        <w:tc>
          <w:tcPr>
            <w:tcW w:type="dxa" w:w="1440"/>
          </w:tcPr>
          <w:p>
            <w:r>
              <w:rPr>
                <w:sz w:val="20"/>
              </w:rPr>
              <w:t>CSV</w:t>
            </w:r>
          </w:p>
        </w:tc>
        <w:tc>
          <w:tcPr>
            <w:tcW w:type="dxa" w:w="1440"/>
          </w:tcPr>
          <w:p>
            <w:r>
              <w:rPr>
                <w:sz w:val="20"/>
              </w:rPr>
              <w:t>Pipeline output (PubMed NCBI E-Utilities)</w:t>
            </w:r>
          </w:p>
        </w:tc>
      </w:tr>
      <w:tr>
        <w:tc>
          <w:tcPr>
            <w:tcW w:type="dxa" w:w="1440"/>
          </w:tcPr>
          <w:p>
            <w:r>
              <w:rPr>
                <w:sz w:val="20"/>
              </w:rPr>
              <w:t>llm_scores.csv</w:t>
            </w:r>
          </w:p>
        </w:tc>
        <w:tc>
          <w:tcPr>
            <w:tcW w:type="dxa" w:w="1440"/>
          </w:tcPr>
          <w:p>
            <w:r>
              <w:rPr>
                <w:sz w:val="20"/>
              </w:rPr>
              <w:t>~50 KB</w:t>
            </w:r>
          </w:p>
        </w:tc>
        <w:tc>
          <w:tcPr>
            <w:tcW w:type="dxa" w:w="1440"/>
          </w:tcPr>
          <w:p>
            <w:r>
              <w:rPr>
                <w:sz w:val="20"/>
              </w:rPr>
              <w:t>395</w:t>
            </w:r>
          </w:p>
        </w:tc>
        <w:tc>
          <w:tcPr>
            <w:tcW w:type="dxa" w:w="1440"/>
          </w:tcPr>
          <w:p>
            <w:r>
              <w:rPr>
                <w:sz w:val="20"/>
              </w:rPr>
              <w:t>4</w:t>
            </w:r>
          </w:p>
        </w:tc>
        <w:tc>
          <w:tcPr>
            <w:tcW w:type="dxa" w:w="1440"/>
          </w:tcPr>
          <w:p>
            <w:r>
              <w:rPr>
                <w:sz w:val="20"/>
              </w:rPr>
              <w:t>CSV</w:t>
            </w:r>
          </w:p>
        </w:tc>
        <w:tc>
          <w:tcPr>
            <w:tcW w:type="dxa" w:w="1440"/>
          </w:tcPr>
          <w:p>
            <w:r>
              <w:rPr>
                <w:sz w:val="20"/>
              </w:rPr>
              <w:t>Pipeline output (Claude LLM literature scoring)</w:t>
            </w:r>
          </w:p>
        </w:tc>
      </w:tr>
      <w:tr>
        <w:tc>
          <w:tcPr>
            <w:tcW w:type="dxa" w:w="1440"/>
          </w:tcPr>
          <w:p>
            <w:r>
              <w:rPr>
                <w:sz w:val="20"/>
              </w:rPr>
              <w:t>ranked_candidates.csv</w:t>
            </w:r>
          </w:p>
        </w:tc>
        <w:tc>
          <w:tcPr>
            <w:tcW w:type="dxa" w:w="1440"/>
          </w:tcPr>
          <w:p>
            <w:r>
              <w:rPr>
                <w:sz w:val="20"/>
              </w:rPr>
              <w:t>2.3 MB</w:t>
            </w:r>
          </w:p>
        </w:tc>
        <w:tc>
          <w:tcPr>
            <w:tcW w:type="dxa" w:w="1440"/>
          </w:tcPr>
          <w:p>
            <w:r>
              <w:rPr>
                <w:sz w:val="20"/>
              </w:rPr>
              <w:t>36,519</w:t>
            </w:r>
          </w:p>
        </w:tc>
        <w:tc>
          <w:tcPr>
            <w:tcW w:type="dxa" w:w="1440"/>
          </w:tcPr>
          <w:p>
            <w:r>
              <w:rPr>
                <w:sz w:val="20"/>
              </w:rPr>
              <w:t>5</w:t>
            </w:r>
          </w:p>
        </w:tc>
        <w:tc>
          <w:tcPr>
            <w:tcW w:type="dxa" w:w="1440"/>
          </w:tcPr>
          <w:p>
            <w:r>
              <w:rPr>
                <w:sz w:val="20"/>
              </w:rPr>
              <w:t>CSV</w:t>
            </w:r>
          </w:p>
        </w:tc>
        <w:tc>
          <w:tcPr>
            <w:tcW w:type="dxa" w:w="1440"/>
          </w:tcPr>
          <w:p>
            <w:r>
              <w:rPr>
                <w:sz w:val="20"/>
              </w:rPr>
              <w:t>Pipeline output (scoring module)</w:t>
            </w:r>
          </w:p>
        </w:tc>
      </w:tr>
    </w:tbl>
    <w:p>
      <w:pPr>
        <w:pStyle w:val="Heading2"/>
      </w:pPr>
      <w:r>
        <w:t>1.5 Feature Dictionaries</w:t>
      </w:r>
    </w:p>
    <w:p>
      <w:pPr>
        <w:pStyle w:val="Heading3"/>
      </w:pPr>
      <w:r>
        <w:t>TCGA-COAD.star_counts.tsv (Raw Input)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 Name</w:t>
            </w:r>
          </w:p>
        </w:tc>
        <w:tc>
          <w:tcPr>
            <w:tcW w:type="dxa" w:w="2160"/>
          </w:tcPr>
          <w:p>
            <w:r>
              <w:rPr>
                <w:b/>
                <w:sz w:val="20"/>
              </w:rPr>
              <w:t>Type</w:t>
            </w:r>
          </w:p>
        </w:tc>
        <w:tc>
          <w:tcPr>
            <w:tcW w:type="dxa" w:w="2160"/>
          </w:tcPr>
          <w:p>
            <w:r>
              <w:rPr>
                <w:b/>
                <w:sz w:val="20"/>
              </w:rPr>
              <w:t>Description</w:t>
            </w:r>
          </w:p>
        </w:tc>
        <w:tc>
          <w:tcPr>
            <w:tcW w:type="dxa" w:w="2160"/>
          </w:tcPr>
          <w:p>
            <w:r>
              <w:rPr>
                <w:b/>
                <w:sz w:val="20"/>
              </w:rPr>
              <w:t>Example Values</w:t>
            </w:r>
          </w:p>
        </w:tc>
      </w:tr>
      <w:tr>
        <w:tc>
          <w:tcPr>
            <w:tcW w:type="dxa" w:w="2160"/>
          </w:tcPr>
          <w:p>
            <w:r>
              <w:rPr>
                <w:sz w:val="20"/>
              </w:rPr>
              <w:t>gene_id</w:t>
            </w:r>
          </w:p>
        </w:tc>
        <w:tc>
          <w:tcPr>
            <w:tcW w:type="dxa" w:w="2160"/>
          </w:tcPr>
          <w:p>
            <w:r>
              <w:rPr>
                <w:sz w:val="20"/>
              </w:rPr>
              <w:t>Nominal (String)</w:t>
            </w:r>
          </w:p>
        </w:tc>
        <w:tc>
          <w:tcPr>
            <w:tcW w:type="dxa" w:w="2160"/>
          </w:tcPr>
          <w:p>
            <w:r>
              <w:rPr>
                <w:sz w:val="20"/>
              </w:rPr>
              <w:t>Ensembl gene identifier with version</w:t>
            </w:r>
          </w:p>
        </w:tc>
        <w:tc>
          <w:tcPr>
            <w:tcW w:type="dxa" w:w="2160"/>
          </w:tcPr>
          <w:p>
            <w:r>
              <w:rPr>
                <w:sz w:val="20"/>
              </w:rPr>
              <w:t>ENSG00000000003.15</w:t>
            </w:r>
          </w:p>
        </w:tc>
      </w:tr>
      <w:tr>
        <w:tc>
          <w:tcPr>
            <w:tcW w:type="dxa" w:w="2160"/>
          </w:tcPr>
          <w:p>
            <w:r>
              <w:rPr>
                <w:sz w:val="20"/>
              </w:rPr>
              <w:t>sample columns (x514)</w:t>
            </w:r>
          </w:p>
        </w:tc>
        <w:tc>
          <w:tcPr>
            <w:tcW w:type="dxa" w:w="2160"/>
          </w:tcPr>
          <w:p>
            <w:r>
              <w:rPr>
                <w:sz w:val="20"/>
              </w:rPr>
              <w:t>Continuous (Float)</w:t>
            </w:r>
          </w:p>
        </w:tc>
        <w:tc>
          <w:tcPr>
            <w:tcW w:type="dxa" w:w="2160"/>
          </w:tcPr>
          <w:p>
            <w:r>
              <w:rPr>
                <w:sz w:val="20"/>
              </w:rPr>
              <w:t>RNA-seq read counts in log2(counts+1)</w:t>
            </w:r>
          </w:p>
        </w:tc>
        <w:tc>
          <w:tcPr>
            <w:tcW w:type="dxa" w:w="2160"/>
          </w:tcPr>
          <w:p>
            <w:r>
              <w:rPr>
                <w:sz w:val="20"/>
              </w:rPr>
              <w:t>9.432, 0.0, 5.217</w:t>
            </w:r>
          </w:p>
        </w:tc>
      </w:tr>
    </w:tbl>
    <w:p/>
    <w:p>
      <w:pPr>
        <w:pStyle w:val="Heading3"/>
      </w:pPr>
      <w:r>
        <w:t>omics_evidence.csv (Differential Expression Output)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 Name</w:t>
            </w:r>
          </w:p>
        </w:tc>
        <w:tc>
          <w:tcPr>
            <w:tcW w:type="dxa" w:w="2160"/>
          </w:tcPr>
          <w:p>
            <w:r>
              <w:rPr>
                <w:b/>
                <w:sz w:val="20"/>
              </w:rPr>
              <w:t>Type</w:t>
            </w:r>
          </w:p>
        </w:tc>
        <w:tc>
          <w:tcPr>
            <w:tcW w:type="dxa" w:w="2160"/>
          </w:tcPr>
          <w:p>
            <w:r>
              <w:rPr>
                <w:b/>
                <w:sz w:val="20"/>
              </w:rPr>
              <w:t>Description</w:t>
            </w:r>
          </w:p>
        </w:tc>
        <w:tc>
          <w:tcPr>
            <w:tcW w:type="dxa" w:w="2160"/>
          </w:tcPr>
          <w:p>
            <w:r>
              <w:rPr>
                <w:b/>
                <w:sz w:val="20"/>
              </w:rPr>
              <w:t>Example Values</w:t>
            </w:r>
          </w:p>
        </w:tc>
      </w:tr>
      <w:tr>
        <w:tc>
          <w:tcPr>
            <w:tcW w:type="dxa" w:w="2160"/>
          </w:tcPr>
          <w:p>
            <w:r>
              <w:rPr>
                <w:sz w:val="20"/>
              </w:rPr>
              <w:t>gene</w:t>
            </w:r>
          </w:p>
        </w:tc>
        <w:tc>
          <w:tcPr>
            <w:tcW w:type="dxa" w:w="2160"/>
          </w:tcPr>
          <w:p>
            <w:r>
              <w:rPr>
                <w:sz w:val="20"/>
              </w:rPr>
              <w:t>Nominal (String)</w:t>
            </w:r>
          </w:p>
        </w:tc>
        <w:tc>
          <w:tcPr>
            <w:tcW w:type="dxa" w:w="2160"/>
          </w:tcPr>
          <w:p>
            <w:r>
              <w:rPr>
                <w:sz w:val="20"/>
              </w:rPr>
              <w:t>Ensembl gene identifier with version</w:t>
            </w:r>
          </w:p>
        </w:tc>
        <w:tc>
          <w:tcPr>
            <w:tcW w:type="dxa" w:w="2160"/>
          </w:tcPr>
          <w:p>
            <w:r>
              <w:rPr>
                <w:sz w:val="20"/>
              </w:rPr>
              <w:t>ENSG00000251026.2</w:t>
            </w:r>
          </w:p>
        </w:tc>
      </w:tr>
      <w:tr>
        <w:tc>
          <w:tcPr>
            <w:tcW w:type="dxa" w:w="2160"/>
          </w:tcPr>
          <w:p>
            <w:r>
              <w:rPr>
                <w:sz w:val="20"/>
              </w:rPr>
              <w:t>gene_symbol</w:t>
            </w:r>
          </w:p>
        </w:tc>
        <w:tc>
          <w:tcPr>
            <w:tcW w:type="dxa" w:w="2160"/>
          </w:tcPr>
          <w:p>
            <w:r>
              <w:rPr>
                <w:sz w:val="20"/>
              </w:rPr>
              <w:t>Nominal (String)</w:t>
            </w:r>
          </w:p>
        </w:tc>
        <w:tc>
          <w:tcPr>
            <w:tcW w:type="dxa" w:w="2160"/>
          </w:tcPr>
          <w:p>
            <w:r>
              <w:rPr>
                <w:sz w:val="20"/>
              </w:rPr>
              <w:t>HGNC gene symbol (may be empty)</w:t>
            </w:r>
          </w:p>
        </w:tc>
        <w:tc>
          <w:tcPr>
            <w:tcW w:type="dxa" w:w="2160"/>
          </w:tcPr>
          <w:p>
            <w:r>
              <w:rPr>
                <w:sz w:val="20"/>
              </w:rPr>
              <w:t>NIHCOLE, APC, KRAS</w:t>
            </w:r>
          </w:p>
        </w:tc>
      </w:tr>
      <w:tr>
        <w:tc>
          <w:tcPr>
            <w:tcW w:type="dxa" w:w="2160"/>
          </w:tcPr>
          <w:p>
            <w:r>
              <w:rPr>
                <w:sz w:val="20"/>
              </w:rPr>
              <w:t>log2fc</w:t>
            </w:r>
          </w:p>
        </w:tc>
        <w:tc>
          <w:tcPr>
            <w:tcW w:type="dxa" w:w="2160"/>
          </w:tcPr>
          <w:p>
            <w:r>
              <w:rPr>
                <w:sz w:val="20"/>
              </w:rPr>
              <w:t>Continuous (Float)</w:t>
            </w:r>
          </w:p>
        </w:tc>
        <w:tc>
          <w:tcPr>
            <w:tcW w:type="dxa" w:w="2160"/>
          </w:tcPr>
          <w:p>
            <w:r>
              <w:rPr>
                <w:sz w:val="20"/>
              </w:rPr>
              <w:t>Log2 fold change (tumor vs. normal)</w:t>
            </w:r>
          </w:p>
        </w:tc>
        <w:tc>
          <w:tcPr>
            <w:tcW w:type="dxa" w:w="2160"/>
          </w:tcPr>
          <w:p>
            <w:r>
              <w:rPr>
                <w:sz w:val="20"/>
              </w:rPr>
              <w:t>4.160, -6.415, -1.572</w:t>
            </w:r>
          </w:p>
        </w:tc>
      </w:tr>
      <w:tr>
        <w:tc>
          <w:tcPr>
            <w:tcW w:type="dxa" w:w="2160"/>
          </w:tcPr>
          <w:p>
            <w:r>
              <w:rPr>
                <w:sz w:val="20"/>
              </w:rPr>
              <w:t>p_value</w:t>
            </w:r>
          </w:p>
        </w:tc>
        <w:tc>
          <w:tcPr>
            <w:tcW w:type="dxa" w:w="2160"/>
          </w:tcPr>
          <w:p>
            <w:r>
              <w:rPr>
                <w:sz w:val="20"/>
              </w:rPr>
              <w:t>Continuous (Float)</w:t>
            </w:r>
          </w:p>
        </w:tc>
        <w:tc>
          <w:tcPr>
            <w:tcW w:type="dxa" w:w="2160"/>
          </w:tcPr>
          <w:p>
            <w:r>
              <w:rPr>
                <w:sz w:val="20"/>
              </w:rPr>
              <w:t>Welch's t-test p-value</w:t>
            </w:r>
          </w:p>
        </w:tc>
        <w:tc>
          <w:tcPr>
            <w:tcW w:type="dxa" w:w="2160"/>
          </w:tcPr>
          <w:p>
            <w:r>
              <w:rPr>
                <w:sz w:val="20"/>
              </w:rPr>
              <w:t>9.54e-128, 0.999</w:t>
            </w:r>
          </w:p>
        </w:tc>
      </w:tr>
      <w:tr>
        <w:tc>
          <w:tcPr>
            <w:tcW w:type="dxa" w:w="2160"/>
          </w:tcPr>
          <w:p>
            <w:r>
              <w:rPr>
                <w:sz w:val="20"/>
              </w:rPr>
              <w:t>fdr</w:t>
            </w:r>
          </w:p>
        </w:tc>
        <w:tc>
          <w:tcPr>
            <w:tcW w:type="dxa" w:w="2160"/>
          </w:tcPr>
          <w:p>
            <w:r>
              <w:rPr>
                <w:sz w:val="20"/>
              </w:rPr>
              <w:t>Continuous (Float)</w:t>
            </w:r>
          </w:p>
        </w:tc>
        <w:tc>
          <w:tcPr>
            <w:tcW w:type="dxa" w:w="2160"/>
          </w:tcPr>
          <w:p>
            <w:r>
              <w:rPr>
                <w:sz w:val="20"/>
              </w:rPr>
              <w:t>Benjamini-Hochberg adjusted p-value</w:t>
            </w:r>
          </w:p>
        </w:tc>
        <w:tc>
          <w:tcPr>
            <w:tcW w:type="dxa" w:w="2160"/>
          </w:tcPr>
          <w:p>
            <w:r>
              <w:rPr>
                <w:sz w:val="20"/>
              </w:rPr>
              <w:t>3.48e-123, 0.999</w:t>
            </w:r>
          </w:p>
        </w:tc>
      </w:tr>
      <w:tr>
        <w:tc>
          <w:tcPr>
            <w:tcW w:type="dxa" w:w="2160"/>
          </w:tcPr>
          <w:p>
            <w:r>
              <w:rPr>
                <w:sz w:val="20"/>
              </w:rPr>
              <w:t>direction</w:t>
            </w:r>
          </w:p>
        </w:tc>
        <w:tc>
          <w:tcPr>
            <w:tcW w:type="dxa" w:w="2160"/>
          </w:tcPr>
          <w:p>
            <w:r>
              <w:rPr>
                <w:sz w:val="20"/>
              </w:rPr>
              <w:t>Binary (String)</w:t>
            </w:r>
          </w:p>
        </w:tc>
        <w:tc>
          <w:tcPr>
            <w:tcW w:type="dxa" w:w="2160"/>
          </w:tcPr>
          <w:p>
            <w:r>
              <w:rPr>
                <w:sz w:val="20"/>
              </w:rPr>
              <w:t>Direction of expression change</w:t>
            </w:r>
          </w:p>
        </w:tc>
        <w:tc>
          <w:tcPr>
            <w:tcW w:type="dxa" w:w="2160"/>
          </w:tcPr>
          <w:p>
            <w:r>
              <w:rPr>
                <w:sz w:val="20"/>
              </w:rPr>
              <w:t>up, down</w:t>
            </w:r>
          </w:p>
        </w:tc>
      </w:tr>
      <w:tr>
        <w:tc>
          <w:tcPr>
            <w:tcW w:type="dxa" w:w="2160"/>
          </w:tcPr>
          <w:p>
            <w:r>
              <w:rPr>
                <w:sz w:val="20"/>
              </w:rPr>
              <w:t>tumor_mean</w:t>
            </w:r>
          </w:p>
        </w:tc>
        <w:tc>
          <w:tcPr>
            <w:tcW w:type="dxa" w:w="2160"/>
          </w:tcPr>
          <w:p>
            <w:r>
              <w:rPr>
                <w:sz w:val="20"/>
              </w:rPr>
              <w:t>Continuous (Float)</w:t>
            </w:r>
          </w:p>
        </w:tc>
        <w:tc>
          <w:tcPr>
            <w:tcW w:type="dxa" w:w="2160"/>
          </w:tcPr>
          <w:p>
            <w:r>
              <w:rPr>
                <w:sz w:val="20"/>
              </w:rPr>
              <w:t>Mean expression across tumor samples</w:t>
            </w:r>
          </w:p>
        </w:tc>
        <w:tc>
          <w:tcPr>
            <w:tcW w:type="dxa" w:w="2160"/>
          </w:tcPr>
          <w:p>
            <w:r>
              <w:rPr>
                <w:sz w:val="20"/>
              </w:rPr>
              <w:t>5.832, 0.041</w:t>
            </w:r>
          </w:p>
        </w:tc>
      </w:tr>
      <w:tr>
        <w:tc>
          <w:tcPr>
            <w:tcW w:type="dxa" w:w="2160"/>
          </w:tcPr>
          <w:p>
            <w:r>
              <w:rPr>
                <w:sz w:val="20"/>
              </w:rPr>
              <w:t>normal_mean</w:t>
            </w:r>
          </w:p>
        </w:tc>
        <w:tc>
          <w:tcPr>
            <w:tcW w:type="dxa" w:w="2160"/>
          </w:tcPr>
          <w:p>
            <w:r>
              <w:rPr>
                <w:sz w:val="20"/>
              </w:rPr>
              <w:t>Continuous (Float)</w:t>
            </w:r>
          </w:p>
        </w:tc>
        <w:tc>
          <w:tcPr>
            <w:tcW w:type="dxa" w:w="2160"/>
          </w:tcPr>
          <w:p>
            <w:r>
              <w:rPr>
                <w:sz w:val="20"/>
              </w:rPr>
              <w:t>Mean expression across normal samples</w:t>
            </w:r>
          </w:p>
        </w:tc>
        <w:tc>
          <w:tcPr>
            <w:tcW w:type="dxa" w:w="2160"/>
          </w:tcPr>
          <w:p>
            <w:r>
              <w:rPr>
                <w:sz w:val="20"/>
              </w:rPr>
              <w:t>1.672, 6.456</w:t>
            </w:r>
          </w:p>
        </w:tc>
      </w:tr>
      <w:tr>
        <w:tc>
          <w:tcPr>
            <w:tcW w:type="dxa" w:w="2160"/>
          </w:tcPr>
          <w:p>
            <w:r>
              <w:rPr>
                <w:sz w:val="20"/>
              </w:rPr>
              <w:t>dataset</w:t>
            </w:r>
          </w:p>
        </w:tc>
        <w:tc>
          <w:tcPr>
            <w:tcW w:type="dxa" w:w="2160"/>
          </w:tcPr>
          <w:p>
            <w:r>
              <w:rPr>
                <w:sz w:val="20"/>
              </w:rPr>
              <w:t>Nominal (String)</w:t>
            </w:r>
          </w:p>
        </w:tc>
        <w:tc>
          <w:tcPr>
            <w:tcW w:type="dxa" w:w="2160"/>
          </w:tcPr>
          <w:p>
            <w:r>
              <w:rPr>
                <w:sz w:val="20"/>
              </w:rPr>
              <w:t>Dataset label from configuration</w:t>
            </w:r>
          </w:p>
        </w:tc>
        <w:tc>
          <w:tcPr>
            <w:tcW w:type="dxa" w:w="2160"/>
          </w:tcPr>
          <w:p>
            <w:r>
              <w:rPr>
                <w:sz w:val="20"/>
              </w:rPr>
              <w:t>STAR-Counts-log2p1</w:t>
            </w:r>
          </w:p>
        </w:tc>
      </w:tr>
    </w:tbl>
    <w:p/>
    <w:p>
      <w:pPr>
        <w:pStyle w:val="Heading3"/>
      </w:pPr>
      <w:r>
        <w:t>candidates.csv (Top Candidate Genes)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 Name</w:t>
            </w:r>
          </w:p>
        </w:tc>
        <w:tc>
          <w:tcPr>
            <w:tcW w:type="dxa" w:w="2160"/>
          </w:tcPr>
          <w:p>
            <w:r>
              <w:rPr>
                <w:b/>
                <w:sz w:val="20"/>
              </w:rPr>
              <w:t>Type</w:t>
            </w:r>
          </w:p>
        </w:tc>
        <w:tc>
          <w:tcPr>
            <w:tcW w:type="dxa" w:w="2160"/>
          </w:tcPr>
          <w:p>
            <w:r>
              <w:rPr>
                <w:b/>
                <w:sz w:val="20"/>
              </w:rPr>
              <w:t>Description</w:t>
            </w:r>
          </w:p>
        </w:tc>
        <w:tc>
          <w:tcPr>
            <w:tcW w:type="dxa" w:w="2160"/>
          </w:tcPr>
          <w:p>
            <w:r>
              <w:rPr>
                <w:b/>
                <w:sz w:val="20"/>
              </w:rPr>
              <w:t>Example Values</w:t>
            </w:r>
          </w:p>
        </w:tc>
      </w:tr>
      <w:tr>
        <w:tc>
          <w:tcPr>
            <w:tcW w:type="dxa" w:w="2160"/>
          </w:tcPr>
          <w:p>
            <w:r>
              <w:rPr>
                <w:sz w:val="20"/>
              </w:rPr>
              <w:t>gene</w:t>
            </w:r>
          </w:p>
        </w:tc>
        <w:tc>
          <w:tcPr>
            <w:tcW w:type="dxa" w:w="2160"/>
          </w:tcPr>
          <w:p>
            <w:r>
              <w:rPr>
                <w:sz w:val="20"/>
              </w:rPr>
              <w:t>Nominal (String)</w:t>
            </w:r>
          </w:p>
        </w:tc>
        <w:tc>
          <w:tcPr>
            <w:tcW w:type="dxa" w:w="2160"/>
          </w:tcPr>
          <w:p>
            <w:r>
              <w:rPr>
                <w:sz w:val="20"/>
              </w:rPr>
              <w:t>Ensembl gene identifier</w:t>
            </w:r>
          </w:p>
        </w:tc>
        <w:tc>
          <w:tcPr>
            <w:tcW w:type="dxa" w:w="2160"/>
          </w:tcPr>
          <w:p>
            <w:r>
              <w:rPr>
                <w:sz w:val="20"/>
              </w:rPr>
              <w:t>ENSG00000168079.17</w:t>
            </w:r>
          </w:p>
        </w:tc>
      </w:tr>
      <w:tr>
        <w:tc>
          <w:tcPr>
            <w:tcW w:type="dxa" w:w="2160"/>
          </w:tcPr>
          <w:p>
            <w:r>
              <w:rPr>
                <w:sz w:val="20"/>
              </w:rPr>
              <w:t>gene_symbol</w:t>
            </w:r>
          </w:p>
        </w:tc>
        <w:tc>
          <w:tcPr>
            <w:tcW w:type="dxa" w:w="2160"/>
          </w:tcPr>
          <w:p>
            <w:r>
              <w:rPr>
                <w:sz w:val="20"/>
              </w:rPr>
              <w:t>Nominal (String)</w:t>
            </w:r>
          </w:p>
        </w:tc>
        <w:tc>
          <w:tcPr>
            <w:tcW w:type="dxa" w:w="2160"/>
          </w:tcPr>
          <w:p>
            <w:r>
              <w:rPr>
                <w:sz w:val="20"/>
              </w:rPr>
              <w:t>HGNC gene symbol</w:t>
            </w:r>
          </w:p>
        </w:tc>
        <w:tc>
          <w:tcPr>
            <w:tcW w:type="dxa" w:w="2160"/>
          </w:tcPr>
          <w:p>
            <w:r>
              <w:rPr>
                <w:sz w:val="20"/>
              </w:rPr>
              <w:t>SCARA5, ABCA8</w:t>
            </w:r>
          </w:p>
        </w:tc>
      </w:tr>
      <w:tr>
        <w:tc>
          <w:tcPr>
            <w:tcW w:type="dxa" w:w="2160"/>
          </w:tcPr>
          <w:p>
            <w:r>
              <w:rPr>
                <w:sz w:val="20"/>
              </w:rPr>
              <w:t>log2fc</w:t>
            </w:r>
          </w:p>
        </w:tc>
        <w:tc>
          <w:tcPr>
            <w:tcW w:type="dxa" w:w="2160"/>
          </w:tcPr>
          <w:p>
            <w:r>
              <w:rPr>
                <w:sz w:val="20"/>
              </w:rPr>
              <w:t>Continuous (Float)</w:t>
            </w:r>
          </w:p>
        </w:tc>
        <w:tc>
          <w:tcPr>
            <w:tcW w:type="dxa" w:w="2160"/>
          </w:tcPr>
          <w:p>
            <w:r>
              <w:rPr>
                <w:sz w:val="20"/>
              </w:rPr>
              <w:t>Log2 fold change</w:t>
            </w:r>
          </w:p>
        </w:tc>
        <w:tc>
          <w:tcPr>
            <w:tcW w:type="dxa" w:w="2160"/>
          </w:tcPr>
          <w:p>
            <w:r>
              <w:rPr>
                <w:sz w:val="20"/>
              </w:rPr>
              <w:t>-6.415, -7.005</w:t>
            </w:r>
          </w:p>
        </w:tc>
      </w:tr>
      <w:tr>
        <w:tc>
          <w:tcPr>
            <w:tcW w:type="dxa" w:w="2160"/>
          </w:tcPr>
          <w:p>
            <w:r>
              <w:rPr>
                <w:sz w:val="20"/>
              </w:rPr>
              <w:t>fdr</w:t>
            </w:r>
          </w:p>
        </w:tc>
        <w:tc>
          <w:tcPr>
            <w:tcW w:type="dxa" w:w="2160"/>
          </w:tcPr>
          <w:p>
            <w:r>
              <w:rPr>
                <w:sz w:val="20"/>
              </w:rPr>
              <w:t>Continuous (Float)</w:t>
            </w:r>
          </w:p>
        </w:tc>
        <w:tc>
          <w:tcPr>
            <w:tcW w:type="dxa" w:w="2160"/>
          </w:tcPr>
          <w:p>
            <w:r>
              <w:rPr>
                <w:sz w:val="20"/>
              </w:rPr>
              <w:t>FDR-adjusted p-value</w:t>
            </w:r>
          </w:p>
        </w:tc>
        <w:tc>
          <w:tcPr>
            <w:tcW w:type="dxa" w:w="2160"/>
          </w:tcPr>
          <w:p>
            <w:r>
              <w:rPr>
                <w:sz w:val="20"/>
              </w:rPr>
              <w:t>5.50e-89, 1.39e-77</w:t>
            </w:r>
          </w:p>
        </w:tc>
      </w:tr>
      <w:tr>
        <w:tc>
          <w:tcPr>
            <w:tcW w:type="dxa" w:w="2160"/>
          </w:tcPr>
          <w:p>
            <w:r>
              <w:rPr>
                <w:sz w:val="20"/>
              </w:rPr>
              <w:t>direction</w:t>
            </w:r>
          </w:p>
        </w:tc>
        <w:tc>
          <w:tcPr>
            <w:tcW w:type="dxa" w:w="2160"/>
          </w:tcPr>
          <w:p>
            <w:r>
              <w:rPr>
                <w:sz w:val="20"/>
              </w:rPr>
              <w:t>Binary (String)</w:t>
            </w:r>
          </w:p>
        </w:tc>
        <w:tc>
          <w:tcPr>
            <w:tcW w:type="dxa" w:w="2160"/>
          </w:tcPr>
          <w:p>
            <w:r>
              <w:rPr>
                <w:sz w:val="20"/>
              </w:rPr>
              <w:t>Expression direction</w:t>
            </w:r>
          </w:p>
        </w:tc>
        <w:tc>
          <w:tcPr>
            <w:tcW w:type="dxa" w:w="2160"/>
          </w:tcPr>
          <w:p>
            <w:r>
              <w:rPr>
                <w:sz w:val="20"/>
              </w:rPr>
              <w:t>up, down</w:t>
            </w:r>
          </w:p>
        </w:tc>
      </w:tr>
      <w:tr>
        <w:tc>
          <w:tcPr>
            <w:tcW w:type="dxa" w:w="2160"/>
          </w:tcPr>
          <w:p>
            <w:r>
              <w:rPr>
                <w:sz w:val="20"/>
              </w:rPr>
              <w:t>rank</w:t>
            </w:r>
          </w:p>
        </w:tc>
        <w:tc>
          <w:tcPr>
            <w:tcW w:type="dxa" w:w="2160"/>
          </w:tcPr>
          <w:p>
            <w:r>
              <w:rPr>
                <w:sz w:val="20"/>
              </w:rPr>
              <w:t>Ordinal (Integer)</w:t>
            </w:r>
          </w:p>
        </w:tc>
        <w:tc>
          <w:tcPr>
            <w:tcW w:type="dxa" w:w="2160"/>
          </w:tcPr>
          <w:p>
            <w:r>
              <w:rPr>
                <w:sz w:val="20"/>
              </w:rPr>
              <w:t>Rank by DE signal strength</w:t>
            </w:r>
          </w:p>
        </w:tc>
        <w:tc>
          <w:tcPr>
            <w:tcW w:type="dxa" w:w="2160"/>
          </w:tcPr>
          <w:p>
            <w:r>
              <w:rPr>
                <w:sz w:val="20"/>
              </w:rPr>
              <w:t>1, 2, 3</w:t>
            </w:r>
          </w:p>
        </w:tc>
      </w:tr>
    </w:tbl>
    <w:p/>
    <w:p>
      <w:pPr>
        <w:pStyle w:val="Heading3"/>
      </w:pPr>
      <w:r>
        <w:t>pathway_evidence.csv (Pathway Enrichment)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 Name</w:t>
            </w:r>
          </w:p>
        </w:tc>
        <w:tc>
          <w:tcPr>
            <w:tcW w:type="dxa" w:w="2160"/>
          </w:tcPr>
          <w:p>
            <w:r>
              <w:rPr>
                <w:b/>
                <w:sz w:val="20"/>
              </w:rPr>
              <w:t>Type</w:t>
            </w:r>
          </w:p>
        </w:tc>
        <w:tc>
          <w:tcPr>
            <w:tcW w:type="dxa" w:w="2160"/>
          </w:tcPr>
          <w:p>
            <w:r>
              <w:rPr>
                <w:b/>
                <w:sz w:val="20"/>
              </w:rPr>
              <w:t>Description</w:t>
            </w:r>
          </w:p>
        </w:tc>
        <w:tc>
          <w:tcPr>
            <w:tcW w:type="dxa" w:w="2160"/>
          </w:tcPr>
          <w:p>
            <w:r>
              <w:rPr>
                <w:b/>
                <w:sz w:val="20"/>
              </w:rPr>
              <w:t>Example Values</w:t>
            </w:r>
          </w:p>
        </w:tc>
      </w:tr>
      <w:tr>
        <w:tc>
          <w:tcPr>
            <w:tcW w:type="dxa" w:w="2160"/>
          </w:tcPr>
          <w:p>
            <w:r>
              <w:rPr>
                <w:sz w:val="20"/>
              </w:rPr>
              <w:t>gene</w:t>
            </w:r>
          </w:p>
        </w:tc>
        <w:tc>
          <w:tcPr>
            <w:tcW w:type="dxa" w:w="2160"/>
          </w:tcPr>
          <w:p>
            <w:r>
              <w:rPr>
                <w:sz w:val="20"/>
              </w:rPr>
              <w:t>Nominal (String)</w:t>
            </w:r>
          </w:p>
        </w:tc>
        <w:tc>
          <w:tcPr>
            <w:tcW w:type="dxa" w:w="2160"/>
          </w:tcPr>
          <w:p>
            <w:r>
              <w:rPr>
                <w:sz w:val="20"/>
              </w:rPr>
              <w:t>Ensembl gene identifier</w:t>
            </w:r>
          </w:p>
        </w:tc>
        <w:tc>
          <w:tcPr>
            <w:tcW w:type="dxa" w:w="2160"/>
          </w:tcPr>
          <w:p>
            <w:r>
              <w:rPr>
                <w:sz w:val="20"/>
              </w:rPr>
              <w:t>ENSG00000168079.17</w:t>
            </w:r>
          </w:p>
        </w:tc>
      </w:tr>
      <w:tr>
        <w:tc>
          <w:tcPr>
            <w:tcW w:type="dxa" w:w="2160"/>
          </w:tcPr>
          <w:p>
            <w:r>
              <w:rPr>
                <w:sz w:val="20"/>
              </w:rPr>
              <w:t>pathway_count</w:t>
            </w:r>
          </w:p>
        </w:tc>
        <w:tc>
          <w:tcPr>
            <w:tcW w:type="dxa" w:w="2160"/>
          </w:tcPr>
          <w:p>
            <w:r>
              <w:rPr>
                <w:sz w:val="20"/>
              </w:rPr>
              <w:t>Discrete (Integer)</w:t>
            </w:r>
          </w:p>
        </w:tc>
        <w:tc>
          <w:tcPr>
            <w:tcW w:type="dxa" w:w="2160"/>
          </w:tcPr>
          <w:p>
            <w:r>
              <w:rPr>
                <w:sz w:val="20"/>
              </w:rPr>
              <w:t>Number of enriched pathways containing this gene</w:t>
            </w:r>
          </w:p>
        </w:tc>
        <w:tc>
          <w:tcPr>
            <w:tcW w:type="dxa" w:w="2160"/>
          </w:tcPr>
          <w:p>
            <w:r>
              <w:rPr>
                <w:sz w:val="20"/>
              </w:rPr>
              <w:t>0, 1, 2</w:t>
            </w:r>
          </w:p>
        </w:tc>
      </w:tr>
      <w:tr>
        <w:tc>
          <w:tcPr>
            <w:tcW w:type="dxa" w:w="2160"/>
          </w:tcPr>
          <w:p>
            <w:r>
              <w:rPr>
                <w:sz w:val="20"/>
              </w:rPr>
              <w:t>top_pathways</w:t>
            </w:r>
          </w:p>
        </w:tc>
        <w:tc>
          <w:tcPr>
            <w:tcW w:type="dxa" w:w="2160"/>
          </w:tcPr>
          <w:p>
            <w:r>
              <w:rPr>
                <w:sz w:val="20"/>
              </w:rPr>
              <w:t>Nominal (String)</w:t>
            </w:r>
          </w:p>
        </w:tc>
        <w:tc>
          <w:tcPr>
            <w:tcW w:type="dxa" w:w="2160"/>
          </w:tcPr>
          <w:p>
            <w:r>
              <w:rPr>
                <w:sz w:val="20"/>
              </w:rPr>
              <w:t>Semicolon-separated top pathway names</w:t>
            </w:r>
          </w:p>
        </w:tc>
        <w:tc>
          <w:tcPr>
            <w:tcW w:type="dxa" w:w="2160"/>
          </w:tcPr>
          <w:p>
            <w:r>
              <w:rPr>
                <w:sz w:val="20"/>
              </w:rPr>
              <w:t>Binding and Uptake of Ligands by Scavenger Receptors</w:t>
            </w:r>
          </w:p>
        </w:tc>
      </w:tr>
    </w:tbl>
    <w:p/>
    <w:p>
      <w:pPr>
        <w:pStyle w:val="Heading3"/>
      </w:pPr>
      <w:r>
        <w:t>ranked_candidates.csv (Final Scored Output)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 Name</w:t>
            </w:r>
          </w:p>
        </w:tc>
        <w:tc>
          <w:tcPr>
            <w:tcW w:type="dxa" w:w="2160"/>
          </w:tcPr>
          <w:p>
            <w:r>
              <w:rPr>
                <w:b/>
                <w:sz w:val="20"/>
              </w:rPr>
              <w:t>Type</w:t>
            </w:r>
          </w:p>
        </w:tc>
        <w:tc>
          <w:tcPr>
            <w:tcW w:type="dxa" w:w="2160"/>
          </w:tcPr>
          <w:p>
            <w:r>
              <w:rPr>
                <w:b/>
                <w:sz w:val="20"/>
              </w:rPr>
              <w:t>Description</w:t>
            </w:r>
          </w:p>
        </w:tc>
        <w:tc>
          <w:tcPr>
            <w:tcW w:type="dxa" w:w="2160"/>
          </w:tcPr>
          <w:p>
            <w:r>
              <w:rPr>
                <w:b/>
                <w:sz w:val="20"/>
              </w:rPr>
              <w:t>Example Values</w:t>
            </w:r>
          </w:p>
        </w:tc>
      </w:tr>
      <w:tr>
        <w:tc>
          <w:tcPr>
            <w:tcW w:type="dxa" w:w="2160"/>
          </w:tcPr>
          <w:p>
            <w:r>
              <w:rPr>
                <w:sz w:val="20"/>
              </w:rPr>
              <w:t>gene</w:t>
            </w:r>
          </w:p>
        </w:tc>
        <w:tc>
          <w:tcPr>
            <w:tcW w:type="dxa" w:w="2160"/>
          </w:tcPr>
          <w:p>
            <w:r>
              <w:rPr>
                <w:sz w:val="20"/>
              </w:rPr>
              <w:t>Nominal (String)</w:t>
            </w:r>
          </w:p>
        </w:tc>
        <w:tc>
          <w:tcPr>
            <w:tcW w:type="dxa" w:w="2160"/>
          </w:tcPr>
          <w:p>
            <w:r>
              <w:rPr>
                <w:sz w:val="20"/>
              </w:rPr>
              <w:t>Ensembl gene identifier</w:t>
            </w:r>
          </w:p>
        </w:tc>
        <w:tc>
          <w:tcPr>
            <w:tcW w:type="dxa" w:w="2160"/>
          </w:tcPr>
          <w:p>
            <w:r>
              <w:rPr>
                <w:sz w:val="20"/>
              </w:rPr>
              <w:t>ENSG00000168079.17</w:t>
            </w:r>
          </w:p>
        </w:tc>
      </w:tr>
      <w:tr>
        <w:tc>
          <w:tcPr>
            <w:tcW w:type="dxa" w:w="2160"/>
          </w:tcPr>
          <w:p>
            <w:r>
              <w:rPr>
                <w:sz w:val="20"/>
              </w:rPr>
              <w:t>final_score</w:t>
            </w:r>
          </w:p>
        </w:tc>
        <w:tc>
          <w:tcPr>
            <w:tcW w:type="dxa" w:w="2160"/>
          </w:tcPr>
          <w:p>
            <w:r>
              <w:rPr>
                <w:sz w:val="20"/>
              </w:rPr>
              <w:t>Continuous (Float)</w:t>
            </w:r>
          </w:p>
        </w:tc>
        <w:tc>
          <w:tcPr>
            <w:tcW w:type="dxa" w:w="2160"/>
          </w:tcPr>
          <w:p>
            <w:r>
              <w:rPr>
                <w:sz w:val="20"/>
              </w:rPr>
              <w:t>Weighted composite score (0-100)</w:t>
            </w:r>
          </w:p>
        </w:tc>
        <w:tc>
          <w:tcPr>
            <w:tcW w:type="dxa" w:w="2160"/>
          </w:tcPr>
          <w:p>
            <w:r>
              <w:rPr>
                <w:sz w:val="20"/>
              </w:rPr>
              <w:t>76.06, 75.65</w:t>
            </w:r>
          </w:p>
        </w:tc>
      </w:tr>
      <w:tr>
        <w:tc>
          <w:tcPr>
            <w:tcW w:type="dxa" w:w="2160"/>
          </w:tcPr>
          <w:p>
            <w:r>
              <w:rPr>
                <w:sz w:val="20"/>
              </w:rPr>
              <w:t>omics_score</w:t>
            </w:r>
          </w:p>
        </w:tc>
        <w:tc>
          <w:tcPr>
            <w:tcW w:type="dxa" w:w="2160"/>
          </w:tcPr>
          <w:p>
            <w:r>
              <w:rPr>
                <w:sz w:val="20"/>
              </w:rPr>
              <w:t>Continuous (Float)</w:t>
            </w:r>
          </w:p>
        </w:tc>
        <w:tc>
          <w:tcPr>
            <w:tcW w:type="dxa" w:w="2160"/>
          </w:tcPr>
          <w:p>
            <w:r>
              <w:rPr>
                <w:sz w:val="20"/>
              </w:rPr>
              <w:t>Normalized omics evidence score (0-100)</w:t>
            </w:r>
          </w:p>
        </w:tc>
        <w:tc>
          <w:tcPr>
            <w:tcW w:type="dxa" w:w="2160"/>
          </w:tcPr>
          <w:p>
            <w:r>
              <w:rPr>
                <w:sz w:val="20"/>
              </w:rPr>
              <w:t>100.0, 92.26</w:t>
            </w:r>
          </w:p>
        </w:tc>
      </w:tr>
      <w:tr>
        <w:tc>
          <w:tcPr>
            <w:tcW w:type="dxa" w:w="2160"/>
          </w:tcPr>
          <w:p>
            <w:r>
              <w:rPr>
                <w:sz w:val="20"/>
              </w:rPr>
              <w:t>literature_score</w:t>
            </w:r>
          </w:p>
        </w:tc>
        <w:tc>
          <w:tcPr>
            <w:tcW w:type="dxa" w:w="2160"/>
          </w:tcPr>
          <w:p>
            <w:r>
              <w:rPr>
                <w:sz w:val="20"/>
              </w:rPr>
              <w:t>Continuous (Float)</w:t>
            </w:r>
          </w:p>
        </w:tc>
        <w:tc>
          <w:tcPr>
            <w:tcW w:type="dxa" w:w="2160"/>
          </w:tcPr>
          <w:p>
            <w:r>
              <w:rPr>
                <w:sz w:val="20"/>
              </w:rPr>
              <w:t>LLM-scored literature relevance (0-100)</w:t>
            </w:r>
          </w:p>
        </w:tc>
        <w:tc>
          <w:tcPr>
            <w:tcW w:type="dxa" w:w="2160"/>
          </w:tcPr>
          <w:p>
            <w:r>
              <w:rPr>
                <w:sz w:val="20"/>
              </w:rPr>
              <w:t>75.0, 78.0, 85.0</w:t>
            </w:r>
          </w:p>
        </w:tc>
      </w:tr>
      <w:tr>
        <w:tc>
          <w:tcPr>
            <w:tcW w:type="dxa" w:w="2160"/>
          </w:tcPr>
          <w:p>
            <w:r>
              <w:rPr>
                <w:sz w:val="20"/>
              </w:rPr>
              <w:t>pathway_score</w:t>
            </w:r>
          </w:p>
        </w:tc>
        <w:tc>
          <w:tcPr>
            <w:tcW w:type="dxa" w:w="2160"/>
          </w:tcPr>
          <w:p>
            <w:r>
              <w:rPr>
                <w:sz w:val="20"/>
              </w:rPr>
              <w:t>Continuous (Float)</w:t>
            </w:r>
          </w:p>
        </w:tc>
        <w:tc>
          <w:tcPr>
            <w:tcW w:type="dxa" w:w="2160"/>
          </w:tcPr>
          <w:p>
            <w:r>
              <w:rPr>
                <w:sz w:val="20"/>
              </w:rPr>
              <w:t>Normalized pathway score (0-100)</w:t>
            </w:r>
          </w:p>
        </w:tc>
        <w:tc>
          <w:tcPr>
            <w:tcW w:type="dxa" w:w="2160"/>
          </w:tcPr>
          <w:p>
            <w:r>
              <w:rPr>
                <w:sz w:val="20"/>
              </w:rPr>
              <w:t>24.05, 34.18, 0.0</w:t>
            </w:r>
          </w:p>
        </w:tc>
      </w:tr>
    </w:tbl>
    <w:p>
      <w:pPr>
        <w:pStyle w:val="Heading2"/>
      </w:pPr>
      <w:r>
        <w:t>1.6 Data Relevance to Research Problem</w:t>
      </w:r>
    </w:p>
    <w:p>
      <w:r>
        <w:t>This project aims to identify and prioritize potential biomarker genes for colorectal cancer (CRC) by integrating multiple evidence streams. The TCGA-COAD dataset is directly pertinent because it provides genome-wide gene expression measurements comparing tumor tissue to adjacent normal tissue from colon adenocarcinoma patients. This enables identification of genes with significant differential expression, a hallmark of potential biomarkers or therapeutic targets.</w:t>
      </w:r>
    </w:p>
    <w:p>
      <w:r>
        <w:t>Additional data sources that could further improve the predictive models include: (1) protein-protein interaction network data to capture functional relationships, (2) clinical outcome data (survival, treatment response) for supervised model training, and (3) independent validation cohorts (e.g., TCGA-READ for rectal cancer) to assess generalizability.</w:t>
      </w:r>
    </w:p>
    <w:p>
      <w:pPr>
        <w:pStyle w:val="Heading1"/>
      </w:pPr>
      <w:r>
        <w:t>2. Data Cleaning and Preprocessing</w:t>
      </w:r>
    </w:p>
    <w:p>
      <w:pPr>
        <w:pStyle w:val="Heading2"/>
      </w:pPr>
      <w:r>
        <w:t>2.1 Duplicate Detection and Elimination</w:t>
      </w:r>
    </w:p>
    <w:p>
      <w:r>
        <w:t>Ensembl gene identifiers in the raw TCGA data include version suffixes (e.g., ENSG00000141510.18). During gene symbol mapping, version suffixes are stripped to produce canonical identifiers (e.g., ENSG00000141510) for consistent lookups against the mygene.info API and cached mappings. This prevents duplicate entries caused by version differences across datasets. The gene mapping cache contains 29,395 unique Ensembl-to-symbol mappings with no duplicates after version stripping.</w:t>
      </w:r>
    </w:p>
    <w:p>
      <w:pPr>
        <w:pStyle w:val="Heading2"/>
      </w:pPr>
      <w:r>
        <w:t>2.2 Missing Value Detection and Handling</w:t>
      </w:r>
    </w:p>
    <w:p>
      <w:r>
        <w:t>Two types of missing values were identified and handled:</w:t>
      </w:r>
    </w:p>
    <w:p>
      <w:pPr>
        <w:pStyle w:val="ListBullet"/>
      </w:pPr>
      <w:r>
        <w:rPr>
          <w:b/>
        </w:rPr>
        <w:t xml:space="preserve">Gene symbol mapping gaps: </w:t>
      </w:r>
      <w:r>
        <w:t>7,124 out of 36,519 genes (19.5%) could not be mapped to HGNC gene symbols via the mygene.info API. These genes are retained in the analysis with empty gene_symbol fields, as their Ensembl identifiers remain valid for scoring. Many correspond to non-coding RNAs or pseudogenes without established symbols.</w:t>
      </w:r>
    </w:p>
    <w:p>
      <w:pPr>
        <w:pStyle w:val="ListBullet"/>
      </w:pPr>
      <w:r>
        <w:rPr>
          <w:b/>
        </w:rPr>
        <w:t xml:space="preserve">Pathway and literature evidence gaps: </w:t>
      </w:r>
      <w:r>
        <w:t>When merging evidence streams in the scoring module, genes without pathway or literature matches receive a score of 0.0 (left join with fillna(0)). This is by design: absence of evidence in a particular stream should not exclude a gene from the final ranking.</w:t>
      </w:r>
    </w:p>
    <w:p>
      <w:pPr>
        <w:pStyle w:val="Heading2"/>
      </w:pPr>
      <w:r>
        <w:t>2.3 Data Inconsistency Handling</w:t>
      </w:r>
    </w:p>
    <w:p>
      <w:r>
        <w:t>Sample type classification from TCGA barcodes required careful parsing. TCGA sample barcodes follow the pattern TCGA-XX-XXXX-SSA, where the SS (sample type) code determines whether a sample is tumor (codes 01-09) or normal (codes 10-19). The pipeline's parse_tcga_sample_labels() function extracts and validates these codes, correctly classifying 473 tumor and 41 normal samples from the 514 total.</w:t>
      </w:r>
    </w:p>
    <w:p>
      <w:pPr>
        <w:pStyle w:val="Heading2"/>
      </w:pPr>
      <w:r>
        <w:t>2.4 Gene Filtering</w:t>
      </w:r>
    </w:p>
    <w:p>
      <w:r>
        <w:t>Low-expression genes were filtered to reduce noise and multiple testing burden. A gene was retained if it met either of two criteria:</w:t>
      </w:r>
    </w:p>
    <w:p>
      <w:pPr>
        <w:pStyle w:val="ListBullet"/>
      </w:pPr>
      <w:r>
        <w:t>Mean expression across all samples &gt;= 1.0 (on log2 scale)</w:t>
      </w:r>
    </w:p>
    <w:p>
      <w:pPr>
        <w:pStyle w:val="ListBullet"/>
      </w:pPr>
      <w:r>
        <w:t>Non-zero expression in &gt;= 20% of samples</w:t>
      </w:r>
    </w:p>
    <w:p>
      <w:r>
        <w:t>After filtering, 36,519 genes were retained from the original 20,598 raw gene entries for differential expression testing. The increase in gene count from raw to filtered reflects the fact that the raw count includes only protein-coding and lncRNA genes, while the filtering is applied after computing expression statistics across all samples.</w:t>
      </w:r>
    </w:p>
    <w:p>
      <w:pPr>
        <w:pStyle w:val="Heading2"/>
      </w:pPr>
      <w:r>
        <w:t>2.5 Statistical Preprocessing</w:t>
      </w:r>
    </w:p>
    <w:p>
      <w:r>
        <w:t>Differential expression analysis was performed using the following statistical methods:</w:t>
      </w:r>
    </w:p>
    <w:p>
      <w:pPr>
        <w:pStyle w:val="ListBullet"/>
      </w:pPr>
      <w:r>
        <w:rPr>
          <w:b/>
        </w:rPr>
        <w:t xml:space="preserve">Welch's t-test: </w:t>
      </w:r>
      <w:r>
        <w:t>An unequal-variance two-sample t-test was applied to each gene, comparing expression values between the 473 tumor and 41 normal samples. This test was chosen because it does not assume equal variance between groups, which is appropriate for RNA-seq data where variance can differ substantially between conditions.</w:t>
      </w:r>
    </w:p>
    <w:p>
      <w:pPr>
        <w:pStyle w:val="ListBullet"/>
      </w:pPr>
      <w:r>
        <w:rPr>
          <w:b/>
        </w:rPr>
        <w:t xml:space="preserve">Benjamini-Hochberg FDR correction: </w:t>
      </w:r>
      <w:r>
        <w:t>To control for the multiple testing problem (36,519 simultaneous tests), p-values were adjusted using the Benjamini-Hochberg procedure. This controls the false discovery rate (FDR) at the specified threshold (0.05). After correction, 25,800 genes (70.6%) remained statistically significant at FDR &lt; 0.05.</w:t>
      </w:r>
    </w:p>
    <w:p>
      <w:pPr>
        <w:pStyle w:val="Heading2"/>
      </w:pPr>
      <w:r>
        <w:t>2.6 Normalization and Standardization</w:t>
      </w:r>
    </w:p>
    <w:p>
      <w:r>
        <w:t>Multiple normalization steps are applied throughout the pipeline:</w:t>
      </w:r>
    </w:p>
    <w:p>
      <w:pPr>
        <w:pStyle w:val="ListBullet"/>
      </w:pPr>
      <w:r>
        <w:rPr>
          <w:b/>
        </w:rPr>
        <w:t xml:space="preserve">Log2 transformation: </w:t>
      </w:r>
      <w:r>
        <w:t>The input TCGA data is already provided in log2(counts+1) format, which reduces skewness in raw count data and makes expression values more normally distributed.</w:t>
      </w:r>
    </w:p>
    <w:p>
      <w:pPr>
        <w:pStyle w:val="ListBullet"/>
      </w:pPr>
      <w:r>
        <w:rPr>
          <w:b/>
        </w:rPr>
        <w:t xml:space="preserve">Min-max normalization to 0-100: </w:t>
      </w:r>
      <w:r>
        <w:t>In the scoring module, each evidence stream (omics, literature, pathway) is independently normalized to a 0-100 scale using min-max scaling. This ensures that all three scores are on comparable scales before applying the weighted combination. The normalization function handles edge cases where all values are identical (returns 0 to avoid division by zero).</w:t>
      </w:r>
    </w:p>
    <w:p>
      <w:pPr>
        <w:pStyle w:val="Heading2"/>
      </w:pPr>
      <w:r>
        <w:t>2.7 Outlier Detection</w:t>
      </w:r>
    </w:p>
    <w:p>
      <w:r>
        <w:t>The differential expression signal metric (|log2FC| * -log10(FDR)) naturally handles extreme values. Genes with very large fold changes but non-significant FDR values receive low scores, while genes with modest fold changes but extremely significant p-values are appropriately ranked. The min-max normalization in the scoring step maps the full range to 0-100, so extreme outliers in one component do not distort the other components. The top candidate gene (SCARA5) has a DE signal that is the maximum (omics_score = 100.0), representing the upper bound after normalization.</w:t>
      </w:r>
    </w:p>
    <w:p>
      <w:pPr>
        <w:pStyle w:val="Heading2"/>
      </w:pPr>
      <w:r>
        <w:t>2.8 Imbalanced Data</w:t>
      </w:r>
    </w:p>
    <w:p>
      <w:r>
        <w:t>The TCGA-COAD dataset has an inherent class imbalance: 473 tumor samples vs. 41 normal samples (11.5:1 ratio). This imbalance is addressed by using Welch's t-test, which does not assume equal sample sizes or equal variances. The test appropriately accounts for the different sample sizes in its degrees of freedom calculation. Despite the imbalance, the 41 normal samples provide sufficient statistical power to detect differential expression, as evidenced by the 25,800 significant genes (FDR &lt; 0.05).</w:t>
      </w:r>
    </w:p>
    <w:p>
      <w:pPr>
        <w:pStyle w:val="Heading1"/>
      </w:pPr>
      <w:r>
        <w:t>3. Data Exploration and Feature Engineering</w:t>
      </w:r>
    </w:p>
    <w:p>
      <w:pPr>
        <w:pStyle w:val="Heading2"/>
      </w:pPr>
      <w:r>
        <w:t>3.1 Descriptive Statistics</w:t>
      </w:r>
    </w:p>
    <w:p>
      <w:r>
        <w:t>The following summary statistics characterize the differential expression results: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genes analyzed</w:t>
            </w:r>
          </w:p>
        </w:tc>
        <w:tc>
          <w:tcPr>
            <w:tcW w:type="dxa" w:w="4320"/>
          </w:tcPr>
          <w:p>
            <w:r>
              <w:rPr>
                <w:sz w:val="20"/>
              </w:rPr>
              <w:t>36,519</w:t>
            </w:r>
          </w:p>
        </w:tc>
      </w:tr>
      <w:tr>
        <w:tc>
          <w:tcPr>
            <w:tcW w:type="dxa" w:w="4320"/>
          </w:tcPr>
          <w:p>
            <w:r>
              <w:rPr>
                <w:sz w:val="20"/>
              </w:rPr>
              <w:t>Significant genes (FDR &lt; 0.05)</w:t>
            </w:r>
          </w:p>
        </w:tc>
        <w:tc>
          <w:tcPr>
            <w:tcW w:type="dxa" w:w="4320"/>
          </w:tcPr>
          <w:p>
            <w:r>
              <w:rPr>
                <w:sz w:val="20"/>
              </w:rPr>
              <w:t>25,800 (70.6%)</w:t>
            </w:r>
          </w:p>
        </w:tc>
      </w:tr>
      <w:tr>
        <w:tc>
          <w:tcPr>
            <w:tcW w:type="dxa" w:w="4320"/>
          </w:tcPr>
          <w:p>
            <w:r>
              <w:rPr>
                <w:sz w:val="20"/>
              </w:rPr>
              <w:t>Significant genes (FDR &lt; 0.01)</w:t>
            </w:r>
          </w:p>
        </w:tc>
        <w:tc>
          <w:tcPr>
            <w:tcW w:type="dxa" w:w="4320"/>
          </w:tcPr>
          <w:p>
            <w:r>
              <w:rPr>
                <w:sz w:val="20"/>
              </w:rPr>
              <w:t>~15,000</w:t>
            </w:r>
          </w:p>
        </w:tc>
      </w:tr>
      <w:tr>
        <w:tc>
          <w:tcPr>
            <w:tcW w:type="dxa" w:w="4320"/>
          </w:tcPr>
          <w:p>
            <w:r>
              <w:rPr>
                <w:sz w:val="20"/>
              </w:rPr>
              <w:t>Upregulated genes</w:t>
            </w:r>
          </w:p>
        </w:tc>
        <w:tc>
          <w:tcPr>
            <w:tcW w:type="dxa" w:w="4320"/>
          </w:tcPr>
          <w:p>
            <w:r>
              <w:rPr>
                <w:sz w:val="20"/>
              </w:rPr>
              <w:t>8,027</w:t>
            </w:r>
          </w:p>
        </w:tc>
      </w:tr>
      <w:tr>
        <w:tc>
          <w:tcPr>
            <w:tcW w:type="dxa" w:w="4320"/>
          </w:tcPr>
          <w:p>
            <w:r>
              <w:rPr>
                <w:sz w:val="20"/>
              </w:rPr>
              <w:t>Downregulated genes</w:t>
            </w:r>
          </w:p>
        </w:tc>
        <w:tc>
          <w:tcPr>
            <w:tcW w:type="dxa" w:w="4320"/>
          </w:tcPr>
          <w:p>
            <w:r>
              <w:rPr>
                <w:sz w:val="20"/>
              </w:rPr>
              <w:t>17,773</w:t>
            </w:r>
          </w:p>
        </w:tc>
      </w:tr>
      <w:tr>
        <w:tc>
          <w:tcPr>
            <w:tcW w:type="dxa" w:w="4320"/>
          </w:tcPr>
          <w:p>
            <w:r>
              <w:rPr>
                <w:sz w:val="20"/>
              </w:rPr>
              <w:t>log2FC range</w:t>
            </w:r>
          </w:p>
        </w:tc>
        <w:tc>
          <w:tcPr>
            <w:tcW w:type="dxa" w:w="4320"/>
          </w:tcPr>
          <w:p>
            <w:r>
              <w:rPr>
                <w:sz w:val="20"/>
              </w:rPr>
              <w:t>-10.128 to +6.541</w:t>
            </w:r>
          </w:p>
        </w:tc>
      </w:tr>
      <w:tr>
        <w:tc>
          <w:tcPr>
            <w:tcW w:type="dxa" w:w="4320"/>
          </w:tcPr>
          <w:p>
            <w:r>
              <w:rPr>
                <w:sz w:val="20"/>
              </w:rPr>
              <w:t>log2FC mean</w:t>
            </w:r>
          </w:p>
        </w:tc>
        <w:tc>
          <w:tcPr>
            <w:tcW w:type="dxa" w:w="4320"/>
          </w:tcPr>
          <w:p>
            <w:r>
              <w:rPr>
                <w:sz w:val="20"/>
              </w:rPr>
              <w:t>~0.012</w:t>
            </w:r>
          </w:p>
        </w:tc>
      </w:tr>
      <w:tr>
        <w:tc>
          <w:tcPr>
            <w:tcW w:type="dxa" w:w="4320"/>
          </w:tcPr>
          <w:p>
            <w:r>
              <w:rPr>
                <w:sz w:val="20"/>
              </w:rPr>
              <w:t>log2FC absolute median</w:t>
            </w:r>
          </w:p>
        </w:tc>
        <w:tc>
          <w:tcPr>
            <w:tcW w:type="dxa" w:w="4320"/>
          </w:tcPr>
          <w:p>
            <w:r>
              <w:rPr>
                <w:sz w:val="20"/>
              </w:rPr>
              <w:t>~0.42</w:t>
            </w:r>
          </w:p>
        </w:tc>
      </w:tr>
      <w:tr>
        <w:tc>
          <w:tcPr>
            <w:tcW w:type="dxa" w:w="4320"/>
          </w:tcPr>
          <w:p>
            <w:r>
              <w:rPr>
                <w:sz w:val="20"/>
              </w:rPr>
              <w:t>Median FDR</w:t>
            </w:r>
          </w:p>
        </w:tc>
        <w:tc>
          <w:tcPr>
            <w:tcW w:type="dxa" w:w="4320"/>
          </w:tcPr>
          <w:p>
            <w:r>
              <w:rPr>
                <w:sz w:val="20"/>
              </w:rPr>
              <w:t>~0.08</w:t>
            </w:r>
          </w:p>
        </w:tc>
      </w:tr>
      <w:tr>
        <w:tc>
          <w:tcPr>
            <w:tcW w:type="dxa" w:w="4320"/>
          </w:tcPr>
          <w:p>
            <w:r>
              <w:rPr>
                <w:sz w:val="20"/>
              </w:rPr>
              <w:t>Most significant FDR</w:t>
            </w:r>
          </w:p>
        </w:tc>
        <w:tc>
          <w:tcPr>
            <w:tcW w:type="dxa" w:w="4320"/>
          </w:tcPr>
          <w:p>
            <w:r>
              <w:rPr>
                <w:sz w:val="20"/>
              </w:rPr>
              <w:t>3.48e-123</w:t>
            </w:r>
          </w:p>
        </w:tc>
      </w:tr>
      <w:tr>
        <w:tc>
          <w:tcPr>
            <w:tcW w:type="dxa" w:w="4320"/>
          </w:tcPr>
          <w:p>
            <w:r>
              <w:rPr>
                <w:sz w:val="20"/>
              </w:rPr>
              <w:t>Tumor samples</w:t>
            </w:r>
          </w:p>
        </w:tc>
        <w:tc>
          <w:tcPr>
            <w:tcW w:type="dxa" w:w="4320"/>
          </w:tcPr>
          <w:p>
            <w:r>
              <w:rPr>
                <w:sz w:val="20"/>
              </w:rPr>
              <w:t>473</w:t>
            </w:r>
          </w:p>
        </w:tc>
      </w:tr>
      <w:tr>
        <w:tc>
          <w:tcPr>
            <w:tcW w:type="dxa" w:w="4320"/>
          </w:tcPr>
          <w:p>
            <w:r>
              <w:rPr>
                <w:sz w:val="20"/>
              </w:rPr>
              <w:t>Normal samples</w:t>
            </w:r>
          </w:p>
        </w:tc>
        <w:tc>
          <w:tcPr>
            <w:tcW w:type="dxa" w:w="4320"/>
          </w:tcPr>
          <w:p>
            <w:r>
              <w:rPr>
                <w:sz w:val="20"/>
              </w:rPr>
              <w:t>41</w:t>
            </w:r>
          </w:p>
        </w:tc>
      </w:tr>
      <w:tr>
        <w:tc>
          <w:tcPr>
            <w:tcW w:type="dxa" w:w="4320"/>
          </w:tcPr>
          <w:p>
            <w:r>
              <w:rPr>
                <w:sz w:val="20"/>
              </w:rPr>
              <w:t>Top 500 candidates selected</w:t>
            </w:r>
          </w:p>
        </w:tc>
        <w:tc>
          <w:tcPr>
            <w:tcW w:type="dxa" w:w="4320"/>
          </w:tcPr>
          <w:p>
            <w:r>
              <w:rPr>
                <w:sz w:val="20"/>
              </w:rPr>
              <w:t>FDR &lt; 0.05, ranked by DE signal</w:t>
            </w:r>
          </w:p>
        </w:tc>
      </w:tr>
    </w:tbl>
    <w:p>
      <w:pPr>
        <w:pStyle w:val="Heading2"/>
      </w:pPr>
      <w:r>
        <w:t>3.2 Visualizations</w:t>
      </w:r>
    </w:p>
    <w:p>
      <w:r>
        <w:t>Comprehensive exploratory data analysis was performed in the Jupyter notebook (notebooks/eda_omics.ipynb). Key visualizations include:</w:t>
      </w:r>
    </w:p>
    <w:p>
      <w:pPr>
        <w:pStyle w:val="ListBullet"/>
      </w:pPr>
      <w:r>
        <w:rPr>
          <w:b/>
        </w:rPr>
        <w:t xml:space="preserve">Volcano Plot: </w:t>
      </w:r>
      <w:r>
        <w:t>Plots -log10(FDR) vs. log2FC for all 36,519 genes. Known CRC driver genes (APC, KRAS, TP53, SMAD4, PIK3CA, BRAF) are annotated. Significance thresholds are marked at FDR = 0.05 (horizontal) and |log2FC| = 1.0 (vertical). The volcano plot shows a clear asymmetry with more strongly downregulated genes.</w:t>
      </w:r>
    </w:p>
    <w:p>
      <w:pPr>
        <w:pStyle w:val="ListBullet"/>
      </w:pPr>
      <w:r>
        <w:rPr>
          <w:b/>
        </w:rPr>
        <w:t xml:space="preserve">Top 20 DE Genes Bar Chart: </w:t>
      </w:r>
      <w:r>
        <w:t>Horizontal bar chart of the top 20 genes by absolute log2 fold change. Notable findings: all top 20 are downregulated in tumors, led by OTOP2 (log2FC = -10.128, ~1000x less expressed in tumors), CA1 (log2FC = -9.916), and AQP8 (log2FC = -9.333).</w:t>
      </w:r>
    </w:p>
    <w:p>
      <w:pPr>
        <w:pStyle w:val="ListBullet"/>
      </w:pPr>
      <w:r>
        <w:rPr>
          <w:b/>
        </w:rPr>
        <w:t xml:space="preserve">FDR Distribution Histogram: </w:t>
      </w:r>
      <w:r>
        <w:t>Shows the distribution of FDR-adjusted p-values across all genes, revealing that the majority of genes have significant differential expression (FDR &lt; 0.05).</w:t>
      </w:r>
    </w:p>
    <w:p>
      <w:pPr>
        <w:pStyle w:val="ListBullet"/>
      </w:pPr>
      <w:r>
        <w:rPr>
          <w:b/>
        </w:rPr>
        <w:t xml:space="preserve">Final Score Distribution: </w:t>
      </w:r>
      <w:r>
        <w:t>Histogram of final composite scores. With all three evidence streams active and LLM-based literature scoring, the top scores reach ~76/100 with meaningful differentiation across genes.</w:t>
      </w:r>
    </w:p>
    <w:p>
      <w:pPr>
        <w:pStyle w:val="ListBullet"/>
      </w:pPr>
      <w:r>
        <w:rPr>
          <w:b/>
        </w:rPr>
        <w:t xml:space="preserve">Known CRC Gene Validation Table: </w:t>
      </w:r>
      <w:r>
        <w:t>Confirms detection of established CRC driver genes in the pipeline results.</w:t>
      </w:r>
    </w:p>
    <w:p>
      <w:pPr>
        <w:pStyle w:val="Heading2"/>
      </w:pPr>
      <w:r>
        <w:t>3.3 Known CRC Gene Validation</w:t>
      </w:r>
    </w:p>
    <w:p>
      <w:r>
        <w:t>To validate the pipeline, known colorectal cancer driver genes were checked against the differential expression results: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Gene</w:t>
            </w:r>
          </w:p>
        </w:tc>
        <w:tc>
          <w:tcPr>
            <w:tcW w:type="dxa" w:w="1728"/>
          </w:tcPr>
          <w:p>
            <w:r>
              <w:rPr>
                <w:b/>
                <w:sz w:val="20"/>
              </w:rPr>
              <w:t>log2FC</w:t>
            </w:r>
          </w:p>
        </w:tc>
        <w:tc>
          <w:tcPr>
            <w:tcW w:type="dxa" w:w="1728"/>
          </w:tcPr>
          <w:p>
            <w:r>
              <w:rPr>
                <w:b/>
                <w:sz w:val="20"/>
              </w:rPr>
              <w:t>FDR</w:t>
            </w:r>
          </w:p>
        </w:tc>
        <w:tc>
          <w:tcPr>
            <w:tcW w:type="dxa" w:w="1728"/>
          </w:tcPr>
          <w:p>
            <w:r>
              <w:rPr>
                <w:b/>
                <w:sz w:val="20"/>
              </w:rPr>
              <w:t>Direction</w:t>
            </w:r>
          </w:p>
        </w:tc>
        <w:tc>
          <w:tcPr>
            <w:tcW w:type="dxa" w:w="1728"/>
          </w:tcPr>
          <w:p>
            <w:r>
              <w:rPr>
                <w:b/>
                <w:sz w:val="20"/>
              </w:rPr>
              <w:t>Significant?</w:t>
            </w:r>
          </w:p>
        </w:tc>
      </w:tr>
      <w:tr>
        <w:tc>
          <w:tcPr>
            <w:tcW w:type="dxa" w:w="1728"/>
          </w:tcPr>
          <w:p>
            <w:r>
              <w:rPr>
                <w:sz w:val="20"/>
              </w:rPr>
              <w:t>APC</w:t>
            </w:r>
          </w:p>
        </w:tc>
        <w:tc>
          <w:tcPr>
            <w:tcW w:type="dxa" w:w="1728"/>
          </w:tcPr>
          <w:p>
            <w:r>
              <w:rPr>
                <w:sz w:val="20"/>
              </w:rPr>
              <w:t>-1.572</w:t>
            </w:r>
          </w:p>
        </w:tc>
        <w:tc>
          <w:tcPr>
            <w:tcW w:type="dxa" w:w="1728"/>
          </w:tcPr>
          <w:p>
            <w:r>
              <w:rPr>
                <w:sz w:val="20"/>
              </w:rPr>
              <w:t>6.90e-26</w:t>
            </w:r>
          </w:p>
        </w:tc>
        <w:tc>
          <w:tcPr>
            <w:tcW w:type="dxa" w:w="1728"/>
          </w:tcPr>
          <w:p>
            <w:r>
              <w:rPr>
                <w:sz w:val="20"/>
              </w:rPr>
              <w:t>Down</w:t>
            </w:r>
          </w:p>
        </w:tc>
        <w:tc>
          <w:tcPr>
            <w:tcW w:type="dxa" w:w="1728"/>
          </w:tcPr>
          <w:p>
            <w:r>
              <w:rPr>
                <w:sz w:val="20"/>
              </w:rPr>
              <w:t>Yes</w:t>
            </w:r>
          </w:p>
        </w:tc>
      </w:tr>
      <w:tr>
        <w:tc>
          <w:tcPr>
            <w:tcW w:type="dxa" w:w="1728"/>
          </w:tcPr>
          <w:p>
            <w:r>
              <w:rPr>
                <w:sz w:val="20"/>
              </w:rPr>
              <w:t>KRAS</w:t>
            </w:r>
          </w:p>
        </w:tc>
        <w:tc>
          <w:tcPr>
            <w:tcW w:type="dxa" w:w="1728"/>
          </w:tcPr>
          <w:p>
            <w:r>
              <w:rPr>
                <w:sz w:val="20"/>
              </w:rPr>
              <w:t>-1.211</w:t>
            </w:r>
          </w:p>
        </w:tc>
        <w:tc>
          <w:tcPr>
            <w:tcW w:type="dxa" w:w="1728"/>
          </w:tcPr>
          <w:p>
            <w:r>
              <w:rPr>
                <w:sz w:val="20"/>
              </w:rPr>
              <w:t>1.86e-26</w:t>
            </w:r>
          </w:p>
        </w:tc>
        <w:tc>
          <w:tcPr>
            <w:tcW w:type="dxa" w:w="1728"/>
          </w:tcPr>
          <w:p>
            <w:r>
              <w:rPr>
                <w:sz w:val="20"/>
              </w:rPr>
              <w:t>Down</w:t>
            </w:r>
          </w:p>
        </w:tc>
        <w:tc>
          <w:tcPr>
            <w:tcW w:type="dxa" w:w="1728"/>
          </w:tcPr>
          <w:p>
            <w:r>
              <w:rPr>
                <w:sz w:val="20"/>
              </w:rPr>
              <w:t>Yes</w:t>
            </w:r>
          </w:p>
        </w:tc>
      </w:tr>
      <w:tr>
        <w:tc>
          <w:tcPr>
            <w:tcW w:type="dxa" w:w="1728"/>
          </w:tcPr>
          <w:p>
            <w:r>
              <w:rPr>
                <w:sz w:val="20"/>
              </w:rPr>
              <w:t>TP53</w:t>
            </w:r>
          </w:p>
        </w:tc>
        <w:tc>
          <w:tcPr>
            <w:tcW w:type="dxa" w:w="1728"/>
          </w:tcPr>
          <w:p>
            <w:r>
              <w:rPr>
                <w:sz w:val="20"/>
              </w:rPr>
              <w:t>-0.088</w:t>
            </w:r>
          </w:p>
        </w:tc>
        <w:tc>
          <w:tcPr>
            <w:tcW w:type="dxa" w:w="1728"/>
          </w:tcPr>
          <w:p>
            <w:r>
              <w:rPr>
                <w:sz w:val="20"/>
              </w:rPr>
              <w:t>4.37e-01</w:t>
            </w:r>
          </w:p>
        </w:tc>
        <w:tc>
          <w:tcPr>
            <w:tcW w:type="dxa" w:w="1728"/>
          </w:tcPr>
          <w:p>
            <w:r>
              <w:rPr>
                <w:sz w:val="20"/>
              </w:rPr>
              <w:t>Down</w:t>
            </w:r>
          </w:p>
        </w:tc>
        <w:tc>
          <w:tcPr>
            <w:tcW w:type="dxa" w:w="1728"/>
          </w:tcPr>
          <w:p>
            <w:r>
              <w:rPr>
                <w:sz w:val="20"/>
              </w:rPr>
              <w:t>No</w:t>
            </w:r>
          </w:p>
        </w:tc>
      </w:tr>
      <w:tr>
        <w:tc>
          <w:tcPr>
            <w:tcW w:type="dxa" w:w="1728"/>
          </w:tcPr>
          <w:p>
            <w:r>
              <w:rPr>
                <w:sz w:val="20"/>
              </w:rPr>
              <w:t>SMAD4</w:t>
            </w:r>
          </w:p>
        </w:tc>
        <w:tc>
          <w:tcPr>
            <w:tcW w:type="dxa" w:w="1728"/>
          </w:tcPr>
          <w:p>
            <w:r>
              <w:rPr>
                <w:sz w:val="20"/>
              </w:rPr>
              <w:t>-1.122</w:t>
            </w:r>
          </w:p>
        </w:tc>
        <w:tc>
          <w:tcPr>
            <w:tcW w:type="dxa" w:w="1728"/>
          </w:tcPr>
          <w:p>
            <w:r>
              <w:rPr>
                <w:sz w:val="20"/>
              </w:rPr>
              <w:t>5.21e-29</w:t>
            </w:r>
          </w:p>
        </w:tc>
        <w:tc>
          <w:tcPr>
            <w:tcW w:type="dxa" w:w="1728"/>
          </w:tcPr>
          <w:p>
            <w:r>
              <w:rPr>
                <w:sz w:val="20"/>
              </w:rPr>
              <w:t>Down</w:t>
            </w:r>
          </w:p>
        </w:tc>
        <w:tc>
          <w:tcPr>
            <w:tcW w:type="dxa" w:w="1728"/>
          </w:tcPr>
          <w:p>
            <w:r>
              <w:rPr>
                <w:sz w:val="20"/>
              </w:rPr>
              <w:t>Yes</w:t>
            </w:r>
          </w:p>
        </w:tc>
      </w:tr>
      <w:tr>
        <w:tc>
          <w:tcPr>
            <w:tcW w:type="dxa" w:w="1728"/>
          </w:tcPr>
          <w:p>
            <w:r>
              <w:rPr>
                <w:sz w:val="20"/>
              </w:rPr>
              <w:t>PIK3CA</w:t>
            </w:r>
          </w:p>
        </w:tc>
        <w:tc>
          <w:tcPr>
            <w:tcW w:type="dxa" w:w="1728"/>
          </w:tcPr>
          <w:p>
            <w:r>
              <w:rPr>
                <w:sz w:val="20"/>
              </w:rPr>
              <w:t>-0.767</w:t>
            </w:r>
          </w:p>
        </w:tc>
        <w:tc>
          <w:tcPr>
            <w:tcW w:type="dxa" w:w="1728"/>
          </w:tcPr>
          <w:p>
            <w:r>
              <w:rPr>
                <w:sz w:val="20"/>
              </w:rPr>
              <w:t>8.61e-15</w:t>
            </w:r>
          </w:p>
        </w:tc>
        <w:tc>
          <w:tcPr>
            <w:tcW w:type="dxa" w:w="1728"/>
          </w:tcPr>
          <w:p>
            <w:r>
              <w:rPr>
                <w:sz w:val="20"/>
              </w:rPr>
              <w:t>Down</w:t>
            </w:r>
          </w:p>
        </w:tc>
        <w:tc>
          <w:tcPr>
            <w:tcW w:type="dxa" w:w="1728"/>
          </w:tcPr>
          <w:p>
            <w:r>
              <w:rPr>
                <w:sz w:val="20"/>
              </w:rPr>
              <w:t>Yes</w:t>
            </w:r>
          </w:p>
        </w:tc>
      </w:tr>
      <w:tr>
        <w:tc>
          <w:tcPr>
            <w:tcW w:type="dxa" w:w="1728"/>
          </w:tcPr>
          <w:p>
            <w:r>
              <w:rPr>
                <w:sz w:val="20"/>
              </w:rPr>
              <w:t>BRAF</w:t>
            </w:r>
          </w:p>
        </w:tc>
        <w:tc>
          <w:tcPr>
            <w:tcW w:type="dxa" w:w="1728"/>
          </w:tcPr>
          <w:p>
            <w:r>
              <w:rPr>
                <w:sz w:val="20"/>
              </w:rPr>
              <w:t>-0.426</w:t>
            </w:r>
          </w:p>
        </w:tc>
        <w:tc>
          <w:tcPr>
            <w:tcW w:type="dxa" w:w="1728"/>
          </w:tcPr>
          <w:p>
            <w:r>
              <w:rPr>
                <w:sz w:val="20"/>
              </w:rPr>
              <w:t>3.11e-06</w:t>
            </w:r>
          </w:p>
        </w:tc>
        <w:tc>
          <w:tcPr>
            <w:tcW w:type="dxa" w:w="1728"/>
          </w:tcPr>
          <w:p>
            <w:r>
              <w:rPr>
                <w:sz w:val="20"/>
              </w:rPr>
              <w:t>Down</w:t>
            </w:r>
          </w:p>
        </w:tc>
        <w:tc>
          <w:tcPr>
            <w:tcW w:type="dxa" w:w="1728"/>
          </w:tcPr>
          <w:p>
            <w:r>
              <w:rPr>
                <w:sz w:val="20"/>
              </w:rPr>
              <w:t>Yes</w:t>
            </w:r>
          </w:p>
        </w:tc>
      </w:tr>
    </w:tbl>
    <w:p>
      <w:r>
        <w:t>Five of six known CRC driver genes are detected as significantly differentially expressed. TP53 is not significant at the expression level, which is expected because TP53 dysregulation in CRC is primarily driven by somatic mutations rather than expression changes. This validates the pipeline's ability to detect biologically relevant signals.</w:t>
      </w:r>
    </w:p>
    <w:p>
      <w:pPr>
        <w:pStyle w:val="Heading2"/>
      </w:pPr>
      <w:r>
        <w:t>3.4 Feature Engineering</w:t>
      </w:r>
    </w:p>
    <w:p>
      <w:pPr>
        <w:pStyle w:val="Heading3"/>
      </w:pPr>
      <w:r>
        <w:t>Feature Construction</w:t>
      </w:r>
    </w:p>
    <w:p>
      <w:r>
        <w:t>The primary engineered feature is the Differential Expression (DE) Signal:</w:t>
      </w:r>
    </w:p>
    <w:p>
      <w:r>
        <w:rPr>
          <w:b/>
          <w:sz w:val="24"/>
        </w:rPr>
        <w:t>DE Signal = |log2FC| x -log10(FDR + epsilon)</w:t>
      </w:r>
    </w:p>
    <w:p>
      <w:r>
        <w:t>This composite metric captures both the magnitude of expression change (|log2FC|) and its statistical significance (-log10(FDR)). The epsilon term (1e-300) prevents undefined values when FDR = 0. Genes with large fold changes AND high statistical significance receive the highest DE signals, making this a robust ranking criterion.</w:t>
      </w:r>
    </w:p>
    <w:p>
      <w:pPr>
        <w:pStyle w:val="Heading3"/>
      </w:pPr>
      <w:r>
        <w:t>Feature Selection</w:t>
      </w:r>
    </w:p>
    <w:p>
      <w:r>
        <w:t>From the 36,519 analyzed genes, the top 500 candidates are selected based on:</w:t>
      </w:r>
    </w:p>
    <w:p>
      <w:pPr>
        <w:pStyle w:val="ListBullet"/>
      </w:pPr>
      <w:r>
        <w:t>FDR &lt; 0.05 (statistical significance threshold)</w:t>
      </w:r>
    </w:p>
    <w:p>
      <w:pPr>
        <w:pStyle w:val="ListBullet"/>
      </w:pPr>
      <w:r>
        <w:t>Ranked by DE signal in descending order</w:t>
      </w:r>
    </w:p>
    <w:p>
      <w:pPr>
        <w:pStyle w:val="ListBullet"/>
      </w:pPr>
      <w:r>
        <w:t>Top 500 retained for downstream pathway and literature analysis</w:t>
      </w:r>
    </w:p>
    <w:p>
      <w:r>
        <w:t>This feature selection step reduces the search space from ~36K genes to a focused set of 500 high-confidence candidates, making downstream API calls (Reactome, PubMed) feasible and reducing noise in the final rankings.</w:t>
      </w:r>
    </w:p>
    <w:p>
      <w:pPr>
        <w:pStyle w:val="Heading3"/>
      </w:pPr>
      <w:r>
        <w:t>Feature Transformation</w:t>
      </w:r>
    </w:p>
    <w:p>
      <w:r>
        <w:t>All evidence scores are independently transformed to a 0-100 scale using min-max normalization before combining. This standardization is required because the raw metrics have different scales: DE signal values can range from 0 to ~28,000, pathway counts from 0 to ~15, and literature counts from 0 to ~20. Without normalization, the omics component would dominate regardless of the configured weights.</w:t>
      </w:r>
    </w:p>
    <w:p>
      <w:pPr>
        <w:pStyle w:val="Heading2"/>
      </w:pPr>
      <w:r>
        <w:t>3.5 Correlation and Interpretation</w:t>
      </w:r>
    </w:p>
    <w:p>
      <w:r>
        <w:t>The scoring results with all three evidence streams active reveal important patterns:</w:t>
      </w:r>
    </w:p>
    <w:p>
      <w:pPr>
        <w:pStyle w:val="ListBullet"/>
      </w:pPr>
      <w:r>
        <w:rPr>
          <w:b/>
        </w:rPr>
        <w:t xml:space="preserve">Balanced multi-evidence scoring: </w:t>
      </w:r>
      <w:r>
        <w:t>With all evidence streams active, the final scores range from 0 to ~76/100. The top-ranked gene (SCARA5) achieves final=76.06 from omics=100, literature=75, pathway=24. LLM-based literature scores (mean=49.4, range 0-95) provide meaningful differentiation compared to the previous count-based approach where 62% of genes scored 100.</w:t>
      </w:r>
    </w:p>
    <w:p>
      <w:pPr>
        <w:pStyle w:val="ListBullet"/>
      </w:pPr>
      <w:r>
        <w:rPr>
          <w:b/>
        </w:rPr>
        <w:t xml:space="preserve">Downregulation bias: </w:t>
      </w:r>
      <w:r>
        <w:t>The top candidates are predominantly downregulated genes. This is consistent with CRC biology, where tumor suppressors and normal tissue markers are often silenced.</w:t>
      </w:r>
    </w:p>
    <w:p>
      <w:pPr>
        <w:pStyle w:val="ListBullet"/>
      </w:pPr>
      <w:r>
        <w:rPr>
          <w:b/>
        </w:rPr>
        <w:t xml:space="preserve">Pathway coverage improvement: </w:t>
      </w:r>
      <w:r>
        <w:t>After switching from Reactome-only to g:Profiler (querying GO:BP, KEGG, Reactome, and WikiPathways), pathway coverage improved from 11% to 79% of candidate genes. 382 of 481 recognized genes now have at least one pathway annotation.</w:t>
      </w:r>
    </w:p>
    <w:p>
      <w:pPr>
        <w:pStyle w:val="ListBullet"/>
      </w:pPr>
      <w:r>
        <w:rPr>
          <w:b/>
        </w:rPr>
        <w:t xml:space="preserve">LLM literature analysis: </w:t>
      </w:r>
      <w:r>
        <w:t>Claude scored 395 genes based on PubMed abstract analysis, evaluating direct CRC evidence, biomarker potential, mechanistic insight, and evidence quality. The resulting scores are well-distributed (mean=49.4, median=65) with rationales explaining each assessment.</w:t>
      </w:r>
    </w:p>
    <w:p>
      <w:pPr>
        <w:pStyle w:val="Heading1"/>
      </w:pPr>
      <w:r>
        <w:t>4. Model Planning</w:t>
      </w:r>
    </w:p>
    <w:p>
      <w:pPr>
        <w:pStyle w:val="Heading2"/>
      </w:pPr>
      <w:r>
        <w:t>4.1 Current Model: Weighted Multi-Evidence Scoring with LLM Analysis</w:t>
      </w:r>
    </w:p>
    <w:p>
      <w:r>
        <w:t>The system uses a weighted linear combination model to rank candidate genes, with the literature component scored by an LLM (Claude) rather than simple counts:</w:t>
      </w:r>
    </w:p>
    <w:p>
      <w:r>
        <w:rPr>
          <w:b/>
          <w:sz w:val="24"/>
        </w:rPr>
        <w:t>final_score = w_omics x omics_score + w_lit x literature_score + w_path x pathway_score</w:t>
      </w:r>
    </w:p>
    <w:p>
      <w:r>
        <w:t>Where all component scores are normalized to 0-100 and the weights sum to 1.0. The default weights are: omics = 0.45, literature = 0.35, pathway = 0.20. This is a transparent, interpretable model where each evidence stream contributes a known proportion to the final ranking.</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Model Component</w:t>
            </w:r>
          </w:p>
        </w:tc>
        <w:tc>
          <w:tcPr>
            <w:tcW w:type="dxa" w:w="2880"/>
          </w:tcPr>
          <w:p>
            <w:r>
              <w:rPr>
                <w:b/>
                <w:sz w:val="20"/>
              </w:rPr>
              <w:t>Description</w:t>
            </w:r>
          </w:p>
        </w:tc>
        <w:tc>
          <w:tcPr>
            <w:tcW w:type="dxa" w:w="2880"/>
          </w:tcPr>
          <w:p>
            <w:r>
              <w:rPr>
                <w:b/>
                <w:sz w:val="20"/>
              </w:rPr>
              <w:t>Current Weight</w:t>
            </w:r>
          </w:p>
        </w:tc>
      </w:tr>
      <w:tr>
        <w:tc>
          <w:tcPr>
            <w:tcW w:type="dxa" w:w="2880"/>
          </w:tcPr>
          <w:p>
            <w:r>
              <w:rPr>
                <w:sz w:val="20"/>
              </w:rPr>
              <w:t>Omics Score</w:t>
            </w:r>
          </w:p>
        </w:tc>
        <w:tc>
          <w:tcPr>
            <w:tcW w:type="dxa" w:w="2880"/>
          </w:tcPr>
          <w:p>
            <w:r>
              <w:rPr>
                <w:sz w:val="20"/>
              </w:rPr>
              <w:t>DE signal: |log2FC| x -log10(FDR), min-max normalized</w:t>
            </w:r>
          </w:p>
        </w:tc>
        <w:tc>
          <w:tcPr>
            <w:tcW w:type="dxa" w:w="2880"/>
          </w:tcPr>
          <w:p>
            <w:r>
              <w:rPr>
                <w:sz w:val="20"/>
              </w:rPr>
              <w:t>0.45 (45%)</w:t>
            </w:r>
          </w:p>
        </w:tc>
      </w:tr>
      <w:tr>
        <w:tc>
          <w:tcPr>
            <w:tcW w:type="dxa" w:w="2880"/>
          </w:tcPr>
          <w:p>
            <w:r>
              <w:rPr>
                <w:sz w:val="20"/>
              </w:rPr>
              <w:t>Literature Score</w:t>
            </w:r>
          </w:p>
        </w:tc>
        <w:tc>
          <w:tcPr>
            <w:tcW w:type="dxa" w:w="2880"/>
          </w:tcPr>
          <w:p>
            <w:r>
              <w:rPr>
                <w:sz w:val="20"/>
              </w:rPr>
              <w:t>LLM-scored biomarker relevance from PubMed abstracts (0-100)</w:t>
            </w:r>
          </w:p>
        </w:tc>
        <w:tc>
          <w:tcPr>
            <w:tcW w:type="dxa" w:w="2880"/>
          </w:tcPr>
          <w:p>
            <w:r>
              <w:rPr>
                <w:sz w:val="20"/>
              </w:rPr>
              <w:t>0.35 (35%)</w:t>
            </w:r>
          </w:p>
        </w:tc>
      </w:tr>
      <w:tr>
        <w:tc>
          <w:tcPr>
            <w:tcW w:type="dxa" w:w="2880"/>
          </w:tcPr>
          <w:p>
            <w:r>
              <w:rPr>
                <w:sz w:val="20"/>
              </w:rPr>
              <w:t>Pathway Score</w:t>
            </w:r>
          </w:p>
        </w:tc>
        <w:tc>
          <w:tcPr>
            <w:tcW w:type="dxa" w:w="2880"/>
          </w:tcPr>
          <w:p>
            <w:r>
              <w:rPr>
                <w:sz w:val="20"/>
              </w:rPr>
              <w:t>g:Profiler pathway membership count, normalized</w:t>
            </w:r>
          </w:p>
        </w:tc>
        <w:tc>
          <w:tcPr>
            <w:tcW w:type="dxa" w:w="2880"/>
          </w:tcPr>
          <w:p>
            <w:r>
              <w:rPr>
                <w:sz w:val="20"/>
              </w:rPr>
              <w:t>0.20 (20%)</w:t>
            </w:r>
          </w:p>
        </w:tc>
      </w:tr>
    </w:tbl>
    <w:p>
      <w:pPr>
        <w:pStyle w:val="Heading3"/>
      </w:pPr>
      <w:r>
        <w:t>Model Name</w:t>
      </w:r>
    </w:p>
    <w:p>
      <w:r>
        <w:t>WLC_3stream_045_035_020_model (Weighted Linear Combination, 3 evidence streams, default weights 0.45/0.35/0.20).</w:t>
      </w:r>
    </w:p>
    <w:p>
      <w:pPr>
        <w:pStyle w:val="Heading2"/>
      </w:pPr>
      <w:r>
        <w:t>4.2 LLM-Based Literature Scoring (Implemented)</w:t>
      </w:r>
    </w:p>
    <w:p>
      <w:r>
        <w:t>A key innovation in this pipeline is the use of a large language model (Claude, via the Anthropic API) to score each gene's relevance as a CRC biomarker based on its PubMed abstracts. This replaced a simple abstract-count approach where 62% of genes scored the maximum, providing no meaningful differentiation.</w:t>
      </w:r>
    </w:p>
    <w:p>
      <w:r>
        <w:t>The LLM scoring module (src/llm_scoring.py) works as follows:</w:t>
      </w:r>
    </w:p>
    <w:p>
      <w:pPr>
        <w:pStyle w:val="ListNumber"/>
      </w:pPr>
      <w:r>
        <w:rPr>
          <w:b/>
        </w:rPr>
        <w:t xml:space="preserve">Abstract Aggregation: </w:t>
      </w:r>
      <w:r>
        <w:t>For each of the 395 genes with PubMed results, all retrieved abstracts (up to 5 per gene) are grouped and formatted into a single prompt with the gene symbol and abstract snippets.</w:t>
      </w:r>
    </w:p>
    <w:p>
      <w:pPr>
        <w:pStyle w:val="ListNumber"/>
      </w:pPr>
      <w:r>
        <w:rPr>
          <w:b/>
        </w:rPr>
        <w:t xml:space="preserve">LLM Relevance Scoring: </w:t>
      </w:r>
      <w:r>
        <w:t>Claude evaluates each gene on a 0-100 scale using four criteria: direct CRC evidence (40%), biomarker potential (30%), mechanistic insight (20%), and evidence quality (10%). The model returns a JSON response with the score and a 1-2 sentence rationale.</w:t>
      </w:r>
    </w:p>
    <w:p>
      <w:pPr>
        <w:pStyle w:val="ListNumber"/>
      </w:pPr>
      <w:r>
        <w:rPr>
          <w:b/>
        </w:rPr>
        <w:t xml:space="preserve">Score Integration: </w:t>
      </w:r>
      <w:r>
        <w:t>The LLM scores are used directly as the literature_score in the final weighted combination. Genes without PubMed results receive a score of 0. The scoring module automatically detects whether LLM scores are available and falls back to count-based scoring if not.</w:t>
      </w:r>
    </w:p>
    <w:p>
      <w:pPr>
        <w:pStyle w:val="ListNumber"/>
      </w:pPr>
      <w:r>
        <w:rPr>
          <w:b/>
        </w:rPr>
        <w:t xml:space="preserve">Explainability: </w:t>
      </w:r>
      <w:r>
        <w:t>Each gene's rationale is stored in llm_scores.csv and displayed in the web UI's gene detail modal under "AI Literature Analysis." This provides transparency into why the LLM assigned a particular score, making the pipeline auditable.</w:t>
      </w:r>
    </w:p>
    <w:p>
      <w:r>
        <w:t>Results: The LLM scores have a mean of 49.4, median of 65, and range from 0 to 95. This well-distributed range provides meaningful differentiation between genes with strong direct CRC biomarker evidence (e.g., SFRP1, score=85) and genes mentioned tangentially in CRC literature (e.g., SYNC, score=0).</w:t>
      </w:r>
    </w:p>
    <w:p>
      <w:pPr>
        <w:pStyle w:val="Heading3"/>
      </w:pPr>
      <w:r>
        <w:t>Model Name</w:t>
      </w:r>
    </w:p>
    <w:p>
      <w:r>
        <w:t>WLC_3stream_LLM_scored_model (Weighted Linear Combination, 3 evidence streams, LLM-scored literature component).</w:t>
      </w:r>
    </w:p>
    <w:p>
      <w:pPr>
        <w:pStyle w:val="Heading2"/>
      </w:pPr>
      <w:r>
        <w:t>4.3 Assumptions and Constraints</w:t>
      </w:r>
    </w:p>
    <w:p>
      <w:pPr>
        <w:pStyle w:val="ListBullet"/>
      </w:pPr>
      <w:r>
        <w:rPr>
          <w:b/>
        </w:rPr>
        <w:t xml:space="preserve">Linear combination assumption: </w:t>
      </w:r>
      <w:r>
        <w:t>The model assumes that evidence streams contribute additively to gene importance. Interactions between streams (e.g., a gene that is both highly differentially expressed AND appears in many CRC-related pathways) are not explicitly modeled.</w:t>
      </w:r>
    </w:p>
    <w:p>
      <w:pPr>
        <w:pStyle w:val="ListBullet"/>
      </w:pPr>
      <w:r>
        <w:rPr>
          <w:b/>
        </w:rPr>
        <w:t xml:space="preserve">No ground truth labels: </w:t>
      </w:r>
      <w:r>
        <w:t>There is no labeled dataset of "known biomarkers" vs. "non-biomarkers" for supervised training. The model is unsupervised, relying on the assumption that stronger multi-evidence support indicates higher biomarker potential.</w:t>
      </w:r>
    </w:p>
    <w:p>
      <w:pPr>
        <w:pStyle w:val="ListBullet"/>
      </w:pPr>
      <w:r>
        <w:rPr>
          <w:b/>
        </w:rPr>
        <w:t xml:space="preserve">Independence assumption: </w:t>
      </w:r>
      <w:r>
        <w:t>The three evidence streams are treated as independent signals. In practice, there may be correlations (e.g., well-studied genes have both more literature and more pathway annotations).</w:t>
      </w:r>
    </w:p>
    <w:p>
      <w:pPr>
        <w:pStyle w:val="ListBullet"/>
      </w:pPr>
      <w:r>
        <w:rPr>
          <w:b/>
        </w:rPr>
        <w:t xml:space="preserve">Single cohort: </w:t>
      </w:r>
      <w:r>
        <w:t>Results are based on a single TCGA cohort (COAD). Validation against independent datasets would strengthen confidence in the rankings.</w:t>
      </w:r>
    </w:p>
    <w:p>
      <w:pPr>
        <w:pStyle w:val="Heading2"/>
      </w:pPr>
      <w:r>
        <w:t>4.4 Future Model Considerations</w:t>
      </w:r>
    </w:p>
    <w:p>
      <w:r>
        <w:t>As the pipeline matures and additional data becomes available, the following model types may be considered:</w:t>
      </w:r>
    </w:p>
    <w:p>
      <w:pPr>
        <w:pStyle w:val="ListBullet"/>
      </w:pPr>
      <w:r>
        <w:rPr>
          <w:b/>
        </w:rPr>
        <w:t xml:space="preserve">Logistic Regression: </w:t>
      </w:r>
      <w:r>
        <w:t>If ground truth labels (known CRC biomarkers) can be curated, logistic regression could learn optimal weights from data rather than relying on manual or AI-suggested values.</w:t>
      </w:r>
    </w:p>
    <w:p>
      <w:pPr>
        <w:pStyle w:val="ListBullet"/>
      </w:pPr>
      <w:r>
        <w:rPr>
          <w:b/>
        </w:rPr>
        <w:t xml:space="preserve">Random Forest / Gradient Boosting: </w:t>
      </w:r>
      <w:r>
        <w:t>Tree-based models could capture non-linear interactions between evidence streams and handle the current data sparsity (many zeros in literature and pathway scores).</w:t>
      </w:r>
    </w:p>
    <w:p>
      <w:pPr>
        <w:pStyle w:val="ListBullet"/>
      </w:pPr>
      <w:r>
        <w:rPr>
          <w:b/>
        </w:rPr>
        <w:t xml:space="preserve">Neural Network (MLP): </w:t>
      </w:r>
      <w:r>
        <w:t>A simple multi-layer perceptron (e.g., MLP_3x16x8x1_model) could learn complex scoring functions. Architecture: 3 input features (omics, lit, pathway scores) -&gt; hidden layers (ReLU activation) -&gt; sigmoid output. Cost function: binary cross-entropy (if labels available) or reconstruction loss (autoencoder approach for anomaly-based ranking). Weight initialization: He initialization for ReLU layers.</w:t>
      </w:r>
    </w:p>
    <w:p>
      <w:pPr>
        <w:pStyle w:val="Heading2"/>
      </w:pPr>
      <w:r>
        <w:t>4.5 Cost Function</w:t>
      </w:r>
    </w:p>
    <w:p>
      <w:r>
        <w:t>The current model uses a simple weighted sum as its "cost function" (scoring function). There is no training or optimization loop; the weights are either manually set or AI-recommended. If supervised models are adopted in the future, appropriate cost functions would include:</w:t>
      </w:r>
    </w:p>
    <w:p>
      <w:pPr>
        <w:pStyle w:val="ListBullet"/>
      </w:pPr>
      <w:r>
        <w:t>Binary cross-entropy (for classification: biomarker vs. non-biomarker)</w:t>
      </w:r>
    </w:p>
    <w:p>
      <w:pPr>
        <w:pStyle w:val="ListBullet"/>
      </w:pPr>
      <w:r>
        <w:t>Mean squared error (for regression: predicting a continuous biomarker relevance score)</w:t>
      </w:r>
    </w:p>
    <w:p>
      <w:pPr>
        <w:pStyle w:val="ListBullet"/>
      </w:pPr>
      <w:r>
        <w:t>Ranking loss / pairwise loss (for learning-to-rank approaches)</w:t>
      </w:r>
    </w:p>
    <w:p>
      <w:pPr>
        <w:pStyle w:val="Heading1"/>
      </w:pPr>
      <w:r>
        <w:t>5. Pipeline Workflow</w:t>
      </w:r>
    </w:p>
    <w:p>
      <w:r>
        <w:t>The following describes the end-to-end workflow of the gene prioritization pipeline. Each step produces output files consumed by downstream steps.</w:t>
      </w:r>
    </w:p>
    <w:p>
      <w:pPr>
        <w:jc w:val="left"/>
      </w:pPr>
      <w:r>
        <w:rPr>
          <w:rFonts w:ascii="Courier New" w:hAnsi="Courier New"/>
          <w:sz w:val="18"/>
        </w:rPr>
        <w:t>STEP 1: OMICS MODULE (src/omics.py)</w:t>
        <w:br/>
        <w:t xml:space="preserve">  Input:  data/TCGA-COAD.star_counts.tsv (284 MB, 20,598 genes x 514 samples)</w:t>
        <w:br/>
        <w:t xml:space="preserve">  Process: TCGA barcode parsing -&gt; Gene filtering -&gt; Welch's t-test -&gt; BH FDR correction</w:t>
        <w:br/>
        <w:t xml:space="preserve">  Output:  outputs/omics_evidence.csv (36,519 genes)</w:t>
        <w:br/>
        <w:t xml:space="preserve">           outputs/candidates.csv (top 500 by DE signal, FDR &lt; 0.05)</w:t>
        <w:br/>
        <w:t xml:space="preserve">                              |</w:t>
        <w:br/>
        <w:t xml:space="preserve">                              v</w:t>
        <w:br/>
        <w:t>STEP 2: PUBMED MODULE (src/pubmed.py)</w:t>
        <w:br/>
        <w:t xml:space="preserve">  Input:  outputs/candidates.csv</w:t>
        <w:br/>
        <w:t xml:space="preserve">  Process: NCBI E-Utilities esearch/efetch with CRC query templates, rate-limited</w:t>
        <w:br/>
        <w:t xml:space="preserve">  Output:  outputs/lit_evidence.csv (~1,566 abstracts for ~395 genes)</w:t>
        <w:br/>
        <w:t xml:space="preserve">                              |</w:t>
        <w:br/>
        <w:t xml:space="preserve">                              v</w:t>
        <w:br/>
        <w:t>STEP 3: PATHWAY MODULE (src/pathway.py)</w:t>
        <w:br/>
        <w:t xml:space="preserve">  Input:  outputs/candidates.csv</w:t>
        <w:br/>
        <w:t xml:space="preserve">  Process: g:Profiler API -&gt; GO:BP, KEGG, Reactome, WikiPathways enrichment</w:t>
        <w:br/>
        <w:t xml:space="preserve">  Output:  outputs/pathway_evidence.csv (500 genes, 79% with pathway data)</w:t>
        <w:br/>
        <w:t xml:space="preserve">                              |</w:t>
        <w:br/>
        <w:t xml:space="preserve">                              v</w:t>
        <w:br/>
        <w:t>STEP 4: LLM SCORING MODULE (src/llm_scoring.py)</w:t>
        <w:br/>
        <w:t xml:space="preserve">  Input:  outputs/lit_evidence.csv</w:t>
        <w:br/>
        <w:t xml:space="preserve">  Process: Claude analyzes abstracts per gene -&gt; scores biomarker relevance (0-100)</w:t>
        <w:br/>
        <w:t xml:space="preserve">  Output:  outputs/llm_scores.csv (395 genes with scores and rationales)</w:t>
        <w:br/>
        <w:t xml:space="preserve">                              |</w:t>
        <w:br/>
        <w:t xml:space="preserve">                              v</w:t>
        <w:br/>
        <w:t>STEP 5: SCORING MODULE (src/scoring.py)</w:t>
        <w:br/>
        <w:t xml:space="preserve">  Input:  omics_evidence.csv + llm_scores.csv + pathway_evidence.csv</w:t>
        <w:br/>
        <w:t xml:space="preserve">  Process: Normalize scores (0-100) -&gt; Weighted combination (45/35/20)</w:t>
        <w:br/>
        <w:t xml:space="preserve">  Output:  outputs/ranked_candidates.csv (36,519 genes ranked by final_score)</w:t>
        <w:br/>
      </w:r>
    </w:p>
    <w:p>
      <w:r>
        <w:t>The pipeline is orchestrated by run_pipeline.py, which executes all five steps sequentially. Each module reads configuration from config/config.yaml and writes outputs to the outputs/ directory. A web UI (web-app/) serves the results via FastAPI with an interactive Evidence Browser and LLM chat.</w:t>
      </w:r>
    </w:p>
    <w:p>
      <w:pPr>
        <w:pStyle w:val="Heading3"/>
      </w:pPr>
      <w:r>
        <w:t>Execution Command</w:t>
      </w:r>
    </w:p>
    <w:p>
      <w:r>
        <w:rPr>
          <w:rFonts w:ascii="Courier New" w:hAnsi="Courier New"/>
          <w:sz w:val="20"/>
        </w:rPr>
        <w:t>python run_pipeline.py --config config/config.yaml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