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4"/>
        </w:rPr>
        <w:t xml:space="preserve">TMT Myopia and AI Adoption in U.S. Public Firms, 2015–2024</w:t>
      </w:r>
    </w:p>
    <w:p>
      <w:pPr>
        <w:pStyle w:val="Author"/>
      </w:pPr>
      <w:r>
        <w:rPr>
          <w:rFonts w:ascii="Times New Roman" w:hAnsi="Times New Roman" w:cs="Times New Roman" w:eastAsia="Times New Roman"/>
          <w:sz w:val="24"/>
        </w:rPr>
        <w:t xml:space="preserve">Author One, University of Somewhere</w:t>
      </w:r>
    </w:p>
    <w:p>
      <w:pPr>
        <w:pStyle w:val="Author"/>
      </w:pPr>
      <w:r>
        <w:rPr>
          <w:rFonts w:ascii="Times New Roman" w:hAnsi="Times New Roman" w:cs="Times New Roman" w:eastAsia="Times New Roman"/>
          <w:sz w:val="24"/>
        </w:rPr>
        <w:t xml:space="preserve">Author Two, Another University</w:t>
      </w:r>
    </w:p>
    <w:p>
      <w:pPr>
        <w:pStyle w:val="AbstractTitle"/>
      </w:pPr>
      <w:r>
        <w:rPr>
          <w:rFonts w:ascii="Times New Roman" w:hAnsi="Times New Roman" w:cs="Times New Roman" w:eastAsia="Times New Roman"/>
          <w:sz w:val="24"/>
        </w:rPr>
        <w:t xml:space="preserve">Abstract</w:t>
      </w:r>
    </w:p>
    <w:p>
      <w:pPr>
        <w:pStyle w:val="Abstract"/>
      </w:pPr>
      <w:r>
        <w:rPr>
          <w:rFonts w:ascii="Times New Roman" w:hAnsi="Times New Roman" w:cs="Times New Roman" w:eastAsia="Times New Roman"/>
          <w:sz w:val="24"/>
        </w:rPr>
        <w:t xml:space="preserve">This paper examines how top management team (TMT) temporal orientation affects the adoption of artificial intelligence in U.S. public firms over the 2015–2024 period. Drawing on the attention-based view, we hypothesize that TMTs exhibiting greater short-term orientation — what we term TMT myopia — are less likely to invest in AI initiatives, but more likely to abandon them prematurely once initiated. We test the hypotheses on a panel of 1,847 firm-year observations using a difference-in-differences design exploiting variation in board composition shocks. Results support the abandonment hypothesis but show mixed support for the adoption hypothesis. We contribute to the literature on TMT cognition and firm innovation by introducing a behavioral mechanism into the AI-strategy nexus.</w:t>
      </w:r>
    </w:p>
    <w:bookmarkStart w:id="10" w:name="introduction"/>
    <w:p>
      <w:pPr>
        <w:pStyle w:val="Heading1"/>
      </w:pPr>
      <w:r>
        <w:t>1. Introduction</w:t>
      </w:r>
    </w:p>
    <w:p>
      <w:pPr>
        <w:pStyle w:val="FirstParagraph"/>
      </w:pPr>
      <w:r>
        <w:rPr>
          <w:rFonts w:ascii="Times New Roman" w:hAnsi="Times New Roman" w:cs="Times New Roman" w:eastAsia="Times New Roman"/>
          <w:sz w:val="24"/>
        </w:rPr>
        <w:t xml:space="preserve">The diffusion of artificial intelligence (AI) across U.S. firms has been uneven. Some firms commit early and persist, others enter late, and a non-trivial share start and then abandon. Existing explanations focus on resource endowments and competitive pressures, but a behavioral account remains underdeveloped.</w:t>
      </w:r>
    </w:p>
    <w:p>
      <w:pPr>
        <w:pStyle w:val="BodyText"/>
      </w:pPr>
      <w:r>
        <w:rPr>
          <w:rFonts w:ascii="Times New Roman" w:hAnsi="Times New Roman" w:cs="Times New Roman" w:eastAsia="Times New Roman"/>
          <w:sz w:val="24"/>
        </w:rPr>
        <w:t xml:space="preserve">This paper proposes that top management team (TMT) temporal orientation — the time horizon over which executives evaluate strategic options — is a first-order determinant of AI investment behavior. We focus on TMT myopia: the tendency to weight near-term outcomes disproportionately.</w:t>
      </w:r>
    </w:p>
    <w:bookmarkStart w:id="9" w:name="research-question"/>
    <w:p>
      <w:pPr>
        <w:pStyle w:val="Heading2"/>
      </w:pPr>
      <w:r>
        <w:t>1.1. Research question</w:t>
      </w:r>
    </w:p>
    <w:p>
      <w:pPr>
        <w:pStyle w:val="FirstParagraph"/>
      </w:pPr>
      <w:r>
        <w:rPr>
          <w:rFonts w:ascii="Times New Roman" w:hAnsi="Times New Roman" w:cs="Times New Roman" w:eastAsia="Times New Roman"/>
          <w:sz w:val="24"/>
        </w:rPr>
        <w:t xml:space="preserve">Does TMT myopia explain heterogeneity in AI adoption and abandonment among large U.S. firms?</w:t>
      </w:r>
    </w:p>
    <w:bookmarkEnd w:id="9"/>
    <w:bookmarkEnd w:id="10"/>
    <w:bookmarkStart w:id="14" w:name="theory-and-hypotheses"/>
    <w:p>
      <w:pPr>
        <w:pStyle w:val="Heading1"/>
      </w:pPr>
      <w:r>
        <w:t>2. Theory and Hypotheses</w:t>
      </w:r>
    </w:p>
    <w:bookmarkStart w:id="11" w:name="theoretical-background"/>
    <w:p>
      <w:pPr>
        <w:pStyle w:val="Heading2"/>
      </w:pPr>
      <w:r>
        <w:t>2.1. Theoretical background</w:t>
      </w:r>
    </w:p>
    <w:p>
      <w:pPr>
        <w:pStyle w:val="FirstParagraph"/>
      </w:pPr>
      <w:r>
        <w:rPr>
          <w:rFonts w:ascii="Times New Roman" w:hAnsi="Times New Roman" w:cs="Times New Roman" w:eastAsia="Times New Roman"/>
          <w:sz w:val="24"/>
        </w:rPr>
        <w:t xml:space="preserve">We draw on the attention-based view of the firm and on prospect-theoretic accounts of managerial decision-making.</w:t>
      </w:r>
    </w:p>
    <w:bookmarkEnd w:id="11"/>
    <w:bookmarkStart w:id="12" w:name="hypothesis-1-adoption"/>
    <w:p>
      <w:pPr>
        <w:pStyle w:val="Heading2"/>
      </w:pPr>
      <w:r>
        <w:t>2.2. Hypothesis 1: Adoption</w:t>
      </w:r>
    </w:p>
    <w:p>
      <w:pPr>
        <w:pStyle w:val="BlockText"/>
      </w:pPr>
      <w:r>
        <w:rPr>
          <w:rFonts w:ascii="Times New Roman" w:hAnsi="Times New Roman" w:cs="Times New Roman" w:eastAsia="Times New Roman"/>
          <w:sz w:val="24"/>
        </w:rPr>
        <w:t xml:space="preserve">H1: Firms with more myopic TMTs are less likely to initiate AI investments.</w:t>
      </w:r>
    </w:p>
    <w:p>
      <w:pPr>
        <w:pStyle w:val="FirstParagraph"/>
      </w:pPr>
      <w:r>
        <w:rPr>
          <w:rFonts w:ascii="Times New Roman" w:hAnsi="Times New Roman" w:cs="Times New Roman" w:eastAsia="Times New Roman"/>
          <w:sz w:val="24"/>
        </w:rPr>
        <w:t xml:space="preserve">The argument: AI investments have front-loaded costs and back-loaded returns. Myopic TMTs over-weight the cost side.</w:t>
      </w:r>
    </w:p>
    <w:bookmarkEnd w:id="12"/>
    <w:bookmarkStart w:id="13" w:name="hypothesis-2-abandonment"/>
    <w:p>
      <w:pPr>
        <w:pStyle w:val="Heading2"/>
      </w:pPr>
      <w:r>
        <w:t>2.3. Hypothesis 2: Abandonment</w:t>
      </w:r>
    </w:p>
    <w:p>
      <w:pPr>
        <w:pStyle w:val="BlockText"/>
      </w:pPr>
      <w:r>
        <w:rPr>
          <w:rFonts w:ascii="Times New Roman" w:hAnsi="Times New Roman" w:cs="Times New Roman" w:eastAsia="Times New Roman"/>
          <w:sz w:val="24"/>
        </w:rPr>
        <w:t xml:space="preserve">H2: Conditional on adoption, firms with more myopic TMTs are more likely to abandon AI initiatives within three years.</w:t>
      </w:r>
    </w:p>
    <w:p>
      <w:pPr>
        <w:pStyle w:val="FirstParagraph"/>
      </w:pPr>
      <w:r>
        <w:rPr>
          <w:rFonts w:ascii="Times New Roman" w:hAnsi="Times New Roman" w:cs="Times New Roman" w:eastAsia="Times New Roman"/>
          <w:sz w:val="24"/>
        </w:rPr>
        <w:t xml:space="preserve">The argument: even after initiation, myopic TMTs face ongoing temptation to redeploy resources to near-term projects.</w:t>
      </w:r>
    </w:p>
    <w:bookmarkEnd w:id="13"/>
    <w:bookmarkEnd w:id="14"/>
    <w:bookmarkStart w:id="18" w:name="methods"/>
    <w:p>
      <w:pPr>
        <w:pStyle w:val="Heading1"/>
      </w:pPr>
      <w:r>
        <w:t>3. Methods</w:t>
      </w:r>
    </w:p>
    <w:bookmarkStart w:id="15" w:name="sample"/>
    <w:p>
      <w:pPr>
        <w:pStyle w:val="Heading2"/>
      </w:pPr>
      <w:r>
        <w:t>3.1. Sample</w:t>
      </w:r>
    </w:p>
    <w:p>
      <w:pPr>
        <w:pStyle w:val="FirstParagraph"/>
      </w:pPr>
      <w:r>
        <w:rPr>
          <w:rFonts w:ascii="Times New Roman" w:hAnsi="Times New Roman" w:cs="Times New Roman" w:eastAsia="Times New Roman"/>
          <w:sz w:val="24"/>
        </w:rPr>
        <w:t xml:space="preserve">Our sample includes 1,847 firm-year observations covering 312 U.S. public firms in NAICS sectors 31–33 and 51 over 2015–2024. We compiled the panel from Compustat, ExecuComp, and a hand-coded set of AI-investment announcements drawn from 10-K filings.</w:t>
      </w:r>
    </w:p>
    <w:bookmarkEnd w:id="15"/>
    <w:bookmarkStart w:id="16" w:name="measures"/>
    <w:p>
      <w:pPr>
        <w:pStyle w:val="Heading2"/>
      </w:pPr>
      <w:r>
        <w:t>3.2. Measures</w:t>
      </w:r>
    </w:p>
    <w:p>
      <w:pPr>
        <w:pStyle w:val="TableCaption"/>
      </w:pPr>
      <w:r>
        <w:rPr>
          <w:sz w:val="24"/>
          <w:szCs w:val="24"/>
        </w:rPr>
        <w:t xml:space="preserve">Table 1</w:t>
      </w:r>
      <w:r>
        <w:rPr>
          <w:sz w:val="24"/>
          <w:szCs w:val="24"/>
        </w:rPr>
        <w:br/>
      </w:r>
      <w:r>
        <w:rPr>
          <w:i/>
          <w:sz w:val="24"/>
          <w:szCs w:val="24"/>
        </w:rPr>
        <w:t xml:space="preserve">Construct definitions and data sources.</w:t>
      </w:r>
    </w:p>
    <w:tbl>
      <w:tblPr>
        <w:tblStyle w:val="Table"/>
        <w:tblW w:type="pct" w:w="5000"/>
        <w:tblLayout w:type="fixed"/>
        <w:tblLook w:firstRow="1" w:lastRow="0" w:firstColumn="0" w:lastColumn="0" w:noHBand="0" w:noVBand="0" w:val="0020"/>
        <w:tblCaption w:val="Construct definitions and data sources."/>
        <w:tblBorders>
          <w:top w:val="nil"/>
          <w:left w:val="nil"/>
          <w:bottom w:val="nil"/>
          <w:right w:val="nil"/>
          <w:insideH w:val="nil"/>
          <w:insideV w:val="nil"/>
        </w:tblBorders>
      </w:tblPr>
      <w:tblGrid>
        <w:gridCol w:w="1411"/>
        <w:gridCol w:w="4548"/>
        <w:gridCol w:w="196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Construct</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Measure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Source</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Average of CEO and CFO 2-yr equity vesting ratios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ExecuComp</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AI adoption</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First-time AI capex disclosure in 10-K</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Hand-coded from EDGAR</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AI abandonment</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Cessation of AI capex disclosure for ≥ 2 consecutive yrs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Hand-coded from EDGAR</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Firm size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log(total assets)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Compustat</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R&amp;D intensity</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R&amp;D / total assets</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Compustat</w:t>
            </w:r>
          </w:p>
        </w:tc>
      </w:tr>
    </w:tbl>
    <w:p>
      <w:pPr>
        <w:pStyle w:val="BodyTex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firm-level controls are lagged one year. Industry fixed effects are at the 4-digit NAICS level.</w:t>
      </w:r>
    </w:p>
    <w:bookmarkEnd w:id="16"/>
    <w:bookmarkStart w:id="17" w:name="identification"/>
    <w:p>
      <w:pPr>
        <w:pStyle w:val="Heading2"/>
      </w:pPr>
      <w:r>
        <w:t>3.3. Identification</w:t>
      </w:r>
    </w:p>
    <w:p>
      <w:pPr>
        <w:pStyle w:val="FirstParagraph"/>
      </w:pPr>
      <w:r>
        <w:rPr>
          <w:rFonts w:ascii="Times New Roman" w:hAnsi="Times New Roman" w:cs="Times New Roman" w:eastAsia="Times New Roman"/>
          <w:sz w:val="24"/>
        </w:rPr>
        <w:t xml:space="preserve">We exploit exogenous board-composition shocks (deaths and forced retirements identified from 8-K filings) as a source of variation in TMT myopia. The identifying assumption is that the timing of such shocks is uncorrelated with unobserved determinants of AI adoption.</w:t>
      </w:r>
    </w:p>
    <w:bookmarkEnd w:id="17"/>
    <w:bookmarkEnd w:id="18"/>
    <w:bookmarkStart w:id="21" w:name="results"/>
    <w:p>
      <w:pPr>
        <w:pStyle w:val="Heading1"/>
      </w:pPr>
      <w:r>
        <w:t>4. Results</w:t>
      </w:r>
    </w:p>
    <w:bookmarkStart w:id="19" w:name="main-results"/>
    <w:p>
      <w:pPr>
        <w:pStyle w:val="Heading2"/>
      </w:pPr>
      <w:r>
        <w:t>4.1. Main results</w:t>
      </w:r>
    </w:p>
    <w:p>
      <w:pPr>
        <w:pStyle w:val="TableCaption"/>
      </w:pPr>
      <w:r>
        <w:rPr>
          <w:sz w:val="24"/>
          <w:szCs w:val="24"/>
        </w:rPr>
        <w:t xml:space="preserve">Table 2</w:t>
      </w:r>
      <w:r>
        <w:rPr>
          <w:sz w:val="24"/>
          <w:szCs w:val="24"/>
        </w:rPr>
        <w:br/>
      </w:r>
      <w:r>
        <w:rPr>
          <w:i/>
          <w:sz w:val="24"/>
          <w:szCs w:val="24"/>
        </w:rPr>
        <w:t xml:space="preserve">Logit estimates of AI adoption (N = 1,847).</w:t>
      </w:r>
    </w:p>
    <w:tbl>
      <w:tblPr>
        <w:tblStyle w:val="Table"/>
        <w:tblW w:type="auto" w:w="0"/>
        <w:tblLook w:firstRow="1" w:lastRow="0" w:firstColumn="0" w:lastColumn="0" w:noHBand="0" w:noVBand="0" w:val="0020"/>
        <w:tblCaption w:val="Logit estimates of AI adoption (N = 1,847)."/>
        <w:tblBorders>
          <w:top w:val="nil"/>
          <w:left w:val="nil"/>
          <w:bottom w:val="nil"/>
          <w:right w:val="nil"/>
          <w:insideH w:val="nil"/>
          <w:insideV w:val="nil"/>
        </w:tblBorders>
      </w:tblPr>
      <w:tblGrid>
        <w:gridCol w:w="1980"/>
        <w:gridCol w:w="1980"/>
        <w:gridCol w:w="1980"/>
        <w:gridCol w:w="198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Variable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Model 1</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Model 2</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Model 3</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−0.214 (0.142)</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−0.198 (0.139)</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−0.176 (0.144)</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Firm size</w:t>
            </w:r>
          </w:p>
        </w:tc>
        <w:tc>
          <w:tcPr>
            <w:tcBorders>
              <w:top w:val="nil"/>
              <w:left w:val="nil"/>
              <w:bottom w:val="nil"/>
              <w:right w:val="nil"/>
            </w:tcBorders>
          </w:tcPr>
          <w:p>
            <w:pPr>
              <w:pStyle w:val="Compact"/>
            </w:pPr>
          </w:p>
        </w:tc>
        <w:tc>
          <w:tcPr>
            <w:tcBorders>
              <w:top w:val="nil"/>
              <w:left w:val="nil"/>
              <w:bottom w:val="nil"/>
              <w:right w:val="nil"/>
            </w:tcBorders>
          </w:tcPr>
          <w:p>
            <w:pPr>
              <w:pStyle w:val="Compact"/>
            </w:pPr>
            <w:r>
              <w:rPr>
                <w:rFonts w:ascii="Times New Roman" w:hAnsi="Times New Roman" w:cs="Times New Roman" w:eastAsia="Times New Roman"/>
                <w:sz w:val="22"/>
              </w:rPr>
              <w:t xml:space="preserve">0.087** (0.031)</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0.082** (0.031)</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R&amp;D intensity</w:t>
            </w:r>
          </w:p>
        </w:tc>
        <w:tc>
          <w:tcPr>
            <w:tcBorders>
              <w:top w:val="nil"/>
              <w:left w:val="nil"/>
              <w:bottom w:val="nil"/>
              <w:right w:val="nil"/>
            </w:tcBorders>
          </w:tcPr>
          <w:p>
            <w:pPr>
              <w:pStyle w:val="Compact"/>
            </w:pPr>
          </w:p>
        </w:tc>
        <w:tc>
          <w:tcPr>
            <w:tcBorders>
              <w:top w:val="nil"/>
              <w:left w:val="nil"/>
              <w:bottom w:val="nil"/>
              <w:right w:val="nil"/>
            </w:tcBorders>
          </w:tcPr>
          <w:p>
            <w:pPr>
              <w:pStyle w:val="Compact"/>
            </w:pPr>
          </w:p>
        </w:tc>
        <w:tc>
          <w:tcPr>
            <w:tcBorders>
              <w:top w:val="nil"/>
              <w:left w:val="nil"/>
              <w:bottom w:val="nil"/>
              <w:right w:val="nil"/>
            </w:tcBorders>
          </w:tcPr>
          <w:p>
            <w:pPr>
              <w:pStyle w:val="Compact"/>
            </w:pPr>
            <w:r>
              <w:rPr>
                <w:rFonts w:ascii="Times New Roman" w:hAnsi="Times New Roman" w:cs="Times New Roman" w:eastAsia="Times New Roman"/>
                <w:sz w:val="22"/>
              </w:rPr>
              <w:t xml:space="preserve">1.42** (0.51)</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Industry FE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Year FE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Yes</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Pseudo R²</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0.043</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0.061</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0.078</w:t>
            </w:r>
          </w:p>
        </w:tc>
      </w:tr>
    </w:tbl>
    <w:p>
      <w:pPr>
        <w:pStyle w:val="BodyTex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Standard errors clustered by firm in parentheses.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&lt; .10,</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p* &lt; .05,</w:t>
      </w:r>
      <w:r>
        <w:rPr>
          <w:rFonts w:ascii="Times New Roman" w:hAnsi="Times New Roman" w:cs="Times New Roman" w:eastAsia="Times New Roman"/>
          <w:b/>
          <w:bCs/>
          <w:sz w:val="24"/>
        </w:rPr>
        <w:t xml:space="preserve"> </w:t>
      </w:r>
      <w:r>
        <w:rPr>
          <w:rFonts w:ascii="Times New Roman" w:hAnsi="Times New Roman" w:cs="Times New Roman" w:eastAsia="Times New Roman"/>
          <w:i/>
          <w:iCs/>
          <w:sz w:val="24"/>
        </w:rPr>
        <w:t xml:space="preserv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&lt; .01.</w:t>
      </w:r>
    </w:p>
    <w:p>
      <w:pPr>
        <w:pStyle w:val="BodyText"/>
      </w:pPr>
      <w:r>
        <w:rPr>
          <w:rFonts w:ascii="Times New Roman" w:hAnsi="Times New Roman" w:cs="Times New Roman" w:eastAsia="Times New Roman"/>
          <w:sz w:val="24"/>
        </w:rPr>
        <w:t xml:space="preserve">The TMT myopia coefficient on adoption is negative as predicted but does not reach statistical significance at conventional thresholds.</w:t>
      </w:r>
    </w:p>
    <w:bookmarkEnd w:id="19"/>
    <w:bookmarkStart w:id="20" w:name="abandonment"/>
    <w:p>
      <w:pPr>
        <w:pStyle w:val="Heading2"/>
      </w:pPr>
      <w:r>
        <w:t>4.2. Abandonment</w:t>
      </w:r>
    </w:p>
    <w:p>
      <w:pPr>
        <w:pStyle w:val="TableCaption"/>
      </w:pPr>
      <w:r>
        <w:rPr>
          <w:sz w:val="24"/>
          <w:szCs w:val="24"/>
        </w:rPr>
        <w:t xml:space="preserve">Table 3</w:t>
      </w:r>
      <w:r>
        <w:rPr>
          <w:sz w:val="24"/>
          <w:szCs w:val="24"/>
        </w:rPr>
        <w:br/>
      </w:r>
      <w:r>
        <w:rPr>
          <w:i/>
          <w:sz w:val="24"/>
          <w:szCs w:val="24"/>
        </w:rPr>
        <w:t xml:space="preserve">Cox proportional hazards estimates of AI abandonment.</w:t>
      </w:r>
    </w:p>
    <w:tbl>
      <w:tblPr>
        <w:tblStyle w:val="Table"/>
        <w:tblW w:type="auto" w:w="0"/>
        <w:tblLook w:firstRow="1" w:lastRow="0" w:firstColumn="0" w:lastColumn="0" w:noHBand="0" w:noVBand="0" w:val="0020"/>
        <w:tblCaption w:val="Cox proportional hazards estimates of AI abandonment."/>
        <w:tblBorders>
          <w:top w:val="nil"/>
          <w:left w:val="nil"/>
          <w:bottom w:val="nil"/>
          <w:right w:val="nil"/>
          <w:insideH w:val="nil"/>
          <w:insideV w:val="nil"/>
        </w:tblBorders>
      </w:tblPr>
      <w:tblGrid>
        <w:gridCol w:w="2640"/>
        <w:gridCol w:w="2640"/>
        <w:gridCol w:w="2640"/>
      </w:tblGrid>
      <w:tr>
        <w:trPr>
          <w:tblHeader w:val="on"/>
          <w:cantSplit/>
        </w:trPr>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Variable</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Hazard ratio</w:t>
            </w:r>
          </w:p>
        </w:tc>
        <w:tc>
          <w:tcPr>
            <w:tcBorders>
              <w:top w:val="single" w:sz="12" w:space="0" w:color="000000"/>
              <w:left w:val="nil"/>
              <w:bottom w:val="single" w:sz="4" w:space="0" w:color="000000"/>
              <w:right w:val="nil"/>
            </w:tcBorders>
          </w:tcPr>
          <w:p>
            <w:pPr>
              <w:pStyle w:val="Compact"/>
            </w:pPr>
            <w:r>
              <w:rPr>
                <w:rFonts w:ascii="Times New Roman" w:hAnsi="Times New Roman" w:cs="Times New Roman" w:eastAsia="Times New Roman"/>
                <w:b/>
                <w:sz w:val="22"/>
              </w:rPr>
              <w:t xml:space="preserve">95% CI</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TMT myopia</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1.83**</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[1.21, 2.78]</w:t>
            </w:r>
          </w:p>
        </w:tc>
      </w:tr>
      <w:tr>
        <w:trPr>
          <w:cantSplit/>
        </w:trPr>
        <w:tc>
          <w:tcPr>
            <w:tcBorders>
              <w:top w:val="nil"/>
              <w:left w:val="nil"/>
              <w:bottom w:val="nil"/>
              <w:right w:val="nil"/>
            </w:tcBorders>
          </w:tcPr>
          <w:p>
            <w:pPr>
              <w:pStyle w:val="Compact"/>
            </w:pPr>
            <w:r>
              <w:rPr>
                <w:rFonts w:ascii="Times New Roman" w:hAnsi="Times New Roman" w:cs="Times New Roman" w:eastAsia="Times New Roman"/>
                <w:sz w:val="22"/>
              </w:rPr>
              <w:t xml:space="preserve">Firm size</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0.91</w:t>
            </w:r>
          </w:p>
        </w:tc>
        <w:tc>
          <w:tcPr>
            <w:tcBorders>
              <w:top w:val="nil"/>
              <w:left w:val="nil"/>
              <w:bottom w:val="nil"/>
              <w:right w:val="nil"/>
            </w:tcBorders>
          </w:tcPr>
          <w:p>
            <w:pPr>
              <w:pStyle w:val="Compact"/>
            </w:pPr>
            <w:r>
              <w:rPr>
                <w:rFonts w:ascii="Times New Roman" w:hAnsi="Times New Roman" w:cs="Times New Roman" w:eastAsia="Times New Roman"/>
                <w:sz w:val="22"/>
              </w:rPr>
              <w:t xml:space="preserve">[0.78, 1.06]</w:t>
            </w:r>
          </w:p>
        </w:tc>
      </w:tr>
      <w:tr>
        <w:trPr>
          <w:cantSplit/>
        </w:trPr>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R&amp;D intensity</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0.42**</w:t>
            </w:r>
          </w:p>
        </w:tc>
        <w:tc>
          <w:tcPr>
            <w:tcBorders>
              <w:top w:val="nil"/>
              <w:left w:val="nil"/>
              <w:bottom w:val="single" w:sz="12" w:space="0" w:color="000000"/>
              <w:right w:val="nil"/>
            </w:tcBorders>
          </w:tcPr>
          <w:p>
            <w:pPr>
              <w:pStyle w:val="Compact"/>
            </w:pPr>
            <w:r>
              <w:rPr>
                <w:rFonts w:ascii="Times New Roman" w:hAnsi="Times New Roman" w:cs="Times New Roman" w:eastAsia="Times New Roman"/>
                <w:sz w:val="22"/>
              </w:rPr>
              <w:t xml:space="preserve">[0.22, 0.81]</w:t>
            </w:r>
          </w:p>
        </w:tc>
      </w:tr>
    </w:tbl>
    <w:p>
      <w:pPr>
        <w:pStyle w:val="BodyTex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 412 firms initiating AI investment between 2015 and 2021.</w:t>
      </w:r>
    </w:p>
    <w:p>
      <w:pPr>
        <w:pStyle w:val="BodyText"/>
      </w:pPr>
      <w:r>
        <w:rPr>
          <w:rFonts w:ascii="Times New Roman" w:hAnsi="Times New Roman" w:cs="Times New Roman" w:eastAsia="Times New Roman"/>
          <w:sz w:val="24"/>
        </w:rPr>
        <w:t xml:space="preserve">Abandonment results are consistent with H2. Myopic TMTs face an 83% higher abandonment hazard, holding firm size and R&amp;D intensity constant.</w:t>
      </w:r>
    </w:p>
    <w:bookmarkEnd w:id="20"/>
    <w:bookmarkEnd w:id="21"/>
    <w:bookmarkStart w:id="24" w:name="discussion"/>
    <w:p>
      <w:pPr>
        <w:pStyle w:val="Heading1"/>
      </w:pPr>
      <w:r>
        <w:t>5. Discussion</w:t>
      </w:r>
    </w:p>
    <w:p>
      <w:pPr>
        <w:pStyle w:val="FirstParagraph"/>
      </w:pPr>
      <w:r>
        <w:rPr>
          <w:rFonts w:ascii="Times New Roman" w:hAnsi="Times New Roman" w:cs="Times New Roman" w:eastAsia="Times New Roman"/>
          <w:sz w:val="24"/>
        </w:rPr>
        <w:t xml:space="preserve">The pattern of results — null on adoption, strong on abandonment — is consistent with a behavioral account in which the cost of starting AI is salient and computable at the adoption decision, but the cost of abandonment is silent until ongoing pressures expose it.</w:t>
      </w:r>
    </w:p>
    <w:bookmarkStart w:id="22" w:name="contributions"/>
    <w:p>
      <w:pPr>
        <w:pStyle w:val="Heading2"/>
      </w:pPr>
      <w:r>
        <w:t>5.1. Contributions</w:t>
      </w:r>
    </w:p>
    <w:p>
      <w:pPr>
        <w:pStyle w:val="FirstParagraph"/>
      </w:pPr>
      <w:r>
        <w:rPr>
          <w:rFonts w:ascii="Times New Roman" w:hAnsi="Times New Roman" w:cs="Times New Roman" w:eastAsia="Times New Roman"/>
          <w:sz w:val="24"/>
        </w:rPr>
        <w:t xml:space="preserve">We contribute to (a) the literature on TMT cognition and innovation by isolating temporal orientation as a mechanism, and (b) the AI-strategy literature by drawing attention to abandonment as distinct from adoption.</w:t>
      </w:r>
    </w:p>
    <w:bookmarkEnd w:id="22"/>
    <w:bookmarkStart w:id="23" w:name="limitations"/>
    <w:p>
      <w:pPr>
        <w:pStyle w:val="Heading2"/>
      </w:pPr>
      <w:r>
        <w:t>5.2. Limitations</w:t>
      </w:r>
    </w:p>
    <w:p>
      <w:pPr>
        <w:pStyle w:val="FirstParagraph"/>
      </w:pPr>
      <w:r>
        <w:rPr>
          <w:rFonts w:ascii="Times New Roman" w:hAnsi="Times New Roman" w:cs="Times New Roman" w:eastAsia="Times New Roman"/>
          <w:sz w:val="24"/>
        </w:rPr>
        <w:t xml:space="preserve">Our myopia proxy relies on equity-vesting horizons, which are noisy. Future work could triangulate with text-based measures from earnings-call transcripts.</w:t>
      </w:r>
    </w:p>
    <w:bookmarkEnd w:id="23"/>
    <w:bookmarkEnd w:id="24"/>
    <w:bookmarkStart w:id="25" w:name="references"/>
    <w:p>
      <w:pPr>
        <w:pStyle w:val="Heading1"/>
      </w:pPr>
      <w:r>
        <w:t>6. References</w:t>
      </w:r>
    </w:p>
    <w:p>
      <w:pPr>
        <w:pStyle w:val="FirstParagraph"/>
      </w:pPr>
      <w:r>
        <w:rPr>
          <w:rFonts w:ascii="Times New Roman" w:hAnsi="Times New Roman" w:cs="Times New Roman" w:eastAsia="Times New Roman"/>
          <w:sz w:val="24"/>
        </w:rPr>
        <w:t xml:space="preserve">The reference list goes here. Replace this paragraph with your actual references, pre-formatted in the journal’s required style, or supply a</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.bib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file to</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md_to_docx.py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via</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--bibliography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rStyle w:val="VerbatimChar"/>
          <w:sz w:val="24"/>
        </w:rPr>
        <w:t xml:space="preserve">--csl</w:t>
      </w:r>
      <w:r>
        <w:rPr>
          <w:rFonts w:ascii="Times New Roman" w:hAnsi="Times New Roman" w:cs="Times New Roman" w:eastAsia="Times New Roman"/>
          <w:sz w:val="24"/>
        </w:rPr>
        <w:t xml:space="preserve">.</w:t>
      </w:r>
    </w:p>
    <w:bookmarkEnd w:id="25"/>
    <w:sectPr w:rsidR="00FC693F" w:rsidRPr="0006063C" w:rsidSect="00034616">
      <w:footerReference w:type="default" r:id="rId9"/>
      <w:pgSz w:h="15840" w:w="12240"/>
      <w:pgMar w:bottom="1440" w:footer="720" w:gutter="0" w:header="720" w:left="1440" w:right="1440" w:top="1440"/>
      <w:cols w:space="720"/>
      <w:docGrid w:linePitch="36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left"/>
    </w:pPr>
    <w:rPr>
      <w:rFonts w:ascii="Times New Roman" w:cs="Times New Roman" w:eastAsia="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line="480" w:lineRule="auto"/>
      <w:jc w:val="left"/>
      <w:outlineLvl w:val="0"/>
    </w:pPr>
    <w:rPr>
      <w:rFonts w:ascii="Times New Roman" w:asciiTheme="majorHAnsi" w:cs="Times New Roman" w:cstheme="majorBidi" w:eastAsia="Times New Roman"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jc w:val="left"/>
      <w:outlineLvl w:val="1"/>
    </w:pPr>
    <w:rPr>
      <w:rFonts w:ascii="Times New Roman" w:asciiTheme="majorHAnsi" w:cs="Times New Roman" w:cstheme="majorBidi" w:eastAsia="Times New Roman"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60" w:before="120" w:line="480" w:lineRule="auto"/>
      <w:jc w:val="left"/>
      <w:outlineLvl w:val="2"/>
    </w:pPr>
    <w:rPr>
      <w:rFonts w:ascii="Times New Roman" w:asciiTheme="majorHAnsi" w:cs="Times New Roman" w:cstheme="majorBidi" w:eastAsia="Times New Roman" w:eastAsiaTheme="majorEastAsia" w:hAnsi="Times New Roman" w:hAnsiTheme="majorHAnsi"/>
      <w:b w:val="0"/>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120" w:line="480" w:lineRule="auto"/>
      <w:jc w:val="left"/>
      <w:outlineLvl w:val="3"/>
    </w:pPr>
    <w:rPr>
      <w:rFonts w:ascii="Times New Roman" w:asciiTheme="majorHAnsi" w:cs="Times New Roman" w:cstheme="majorBidi" w:eastAsia="Times New Roman"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480" w:lineRule="auto"/>
      <w:contextualSpacing/>
      <w:jc w:val="center"/>
    </w:pPr>
    <w:rPr>
      <w:rFonts w:ascii="Times New Roman" w:asciiTheme="majorHAnsi" w:cs="Times New Roman" w:cstheme="majorBidi" w:eastAsia="Times New Roman" w:eastAsiaTheme="majorEastAsia" w:hAnsi="Times New Roman" w:hAnsiTheme="majorHAnsi"/>
      <w:b/>
      <w:i w:val="0"/>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before="0" w:line="480" w:lineRule="auto"/>
      <w:jc w:val="center"/>
    </w:pPr>
    <w:rPr>
      <w:rFonts w:ascii="Times New Roman" w:asciiTheme="majorHAnsi" w:cs="Times New Roman" w:cstheme="majorBidi" w:eastAsia="Times New Roman" w:eastAsiaTheme="majorEastAsia" w:hAnsi="Times New Roman" w:hAnsiTheme="majorHAnsi"/>
      <w:b w:val="0"/>
      <w:i/>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basedOn w:val="Normal"/>
    <w:pPr>
      <w:spacing w:after="120" w:before="0" w:line="480" w:lineRule="auto"/>
      <w:jc w:val="center"/>
    </w:pPr>
    <w:rPr>
      <w:rFonts w:ascii="Times New Roman" w:cs="Times New Roman" w:eastAsia="Times New Roman" w:hAnsi="Times New Roman"/>
      <w:b w:val="0"/>
      <w:i w:val="0"/>
      <w:sz w:val="24"/>
    </w:rPr>
  </w:style>
  <w:style w:customStyle="1" w:styleId="Abstract" w:type="paragraph">
    <w:name w:val="Abstract"/>
    <w:basedOn w:val="Normal"/>
    <w:pPr>
      <w:spacing w:after="0" w:before="0" w:line="480" w:lineRule="auto"/>
      <w:jc w:val="left"/>
    </w:pPr>
    <w:rPr>
      <w:rFonts w:ascii="Times New Roman" w:cs="Times New Roman" w:eastAsia="Times New Roman" w:hAnsi="Times New Roman"/>
      <w:b w:val="0"/>
      <w:i w:val="0"/>
      <w:sz w:val="24"/>
    </w:rPr>
  </w:style>
  <w:style w:customStyle="1" w:styleId="AbstractTitle" w:type="paragraph">
    <w:name w:val="AbstractTitle"/>
    <w:basedOn w:val="Normal"/>
    <w:pPr>
      <w:spacing w:after="120" w:before="240" w:line="480" w:lineRule="auto"/>
      <w:jc w:val="left"/>
    </w:pPr>
    <w:rPr>
      <w:rFonts w:ascii="Times New Roman" w:cs="Times New Roman" w:eastAsia="Times New Roman" w:hAnsi="Times New Roman"/>
      <w:b/>
      <w:i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TMT Myopia and AI Adoption in U.S. Public Firms, 2015–2024</dc:title>
  <dc:creator>Author One, University of Somewhere; Author Two, Another University</dc:creator>
  <cp:keywords/>
  <dcterms:created xsi:type="dcterms:W3CDTF">2026-05-22T09:14:02Z</dcterms:created>
  <dcterms:modified xsi:type="dcterms:W3CDTF">2026-05-22T09:14:02Z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how top management team (TMT) temporal orientation affects the adoption of artificial intelligence in U.S. public firms over the 2015–2024 period. Drawing on the attention-based view, we hypothesize that TMTs exhibiting greater short-term orientation — what we term TMT myopia — are less likely to invest in AI initiatives, but more likely to abandon them prematurely once initiated. We test the hypotheses on a panel of 1,847 firm-year observations using a difference-in-differences design exploiting variation in board composition shocks. Results support the abandonment hypothesis but show mixed support for the adoption hypothesis. We contribute to the literature on TMT cognition and firm innovation by introducing a behavioral mechanism into the AI-strategy nexus.</vt:lpwstr>
  </property>
</Properties>
</file>