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4F4A2" w14:textId="16F7BCBE" w:rsidR="00353353" w:rsidRPr="003E4FE6" w:rsidRDefault="003E4FE6" w:rsidP="003E4FE6">
      <w:pPr>
        <w:pStyle w:val="Heading1"/>
      </w:pPr>
      <w:r>
        <w:t xml:space="preserve">Lecture </w:t>
      </w:r>
      <w:r w:rsidR="00B65886">
        <w:t>28</w:t>
      </w:r>
      <w:bookmarkStart w:id="0" w:name="_GoBack"/>
      <w:bookmarkEnd w:id="0"/>
      <w:r>
        <w:t xml:space="preserve">: </w:t>
      </w:r>
      <w:r w:rsidR="00973E18">
        <w:t>Nyquist Stability Theorem</w:t>
      </w:r>
      <w:r w:rsidR="003F3C86">
        <w:t xml:space="preserve"> Supplement</w:t>
      </w:r>
      <w:r w:rsidR="003E3548">
        <w:t xml:space="preserve"> (In-Class)</w:t>
      </w:r>
    </w:p>
    <w:p w14:paraId="25C9E2D0" w14:textId="77777777" w:rsidR="009C2F12" w:rsidRDefault="009C2F12">
      <w:pPr>
        <w:rPr>
          <w:rFonts w:ascii="Times New Roman" w:hAnsi="Times New Roman" w:cs="Times New Roman"/>
        </w:rPr>
      </w:pPr>
    </w:p>
    <w:p w14:paraId="3256A780" w14:textId="0311631A" w:rsidR="000320AF" w:rsidRPr="000320AF" w:rsidRDefault="00973E18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Related to general Nyquist concepts and the Example in Section 3</w:t>
      </w:r>
    </w:p>
    <w:p w14:paraId="0BD54875" w14:textId="6D78C43A" w:rsidR="003E3548" w:rsidRDefault="003E3548" w:rsidP="003E3548">
      <w:pPr>
        <w:pStyle w:val="Heading3"/>
      </w:pPr>
      <w:r>
        <w:t>Key Principle of Nyquist</w:t>
      </w:r>
    </w:p>
    <w:p w14:paraId="4D139A30" w14:textId="31480260" w:rsidR="00973E18" w:rsidRDefault="003E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lecture discussion, fill in the blanks in the sentence below with “open loop” or “closed loop.”</w:t>
      </w:r>
    </w:p>
    <w:p w14:paraId="58B373BF" w14:textId="1D7CBEC6" w:rsidR="003E3548" w:rsidRPr="003E3548" w:rsidRDefault="003E3548" w:rsidP="003E3548">
      <w:pPr>
        <w:spacing w:line="276" w:lineRule="auto"/>
        <w:ind w:left="360"/>
        <w:rPr>
          <w:rFonts w:cs="Times New Roman"/>
        </w:rPr>
      </w:pPr>
      <w:r w:rsidRPr="003E3548">
        <w:rPr>
          <w:rFonts w:cs="Times New Roman"/>
        </w:rPr>
        <w:t>We have previously studied how to use the Routh Hurwitz test to determine the stability of the closed loop system by computing the _________________ transfer function</w:t>
      </w:r>
      <w:r>
        <w:rPr>
          <w:rFonts w:cs="Times New Roman"/>
        </w:rPr>
        <w:t xml:space="preserve"> and analyzing its poles</w:t>
      </w:r>
      <w:r w:rsidRPr="003E3548">
        <w:rPr>
          <w:rFonts w:cs="Times New Roman"/>
        </w:rPr>
        <w:t>.</w:t>
      </w:r>
      <w:r>
        <w:rPr>
          <w:rFonts w:cs="Times New Roman"/>
        </w:rPr>
        <w:t xml:space="preserve"> By contrast, the Nyquist Stability theorem allows us to use the frequency response of the </w:t>
      </w:r>
      <w:r w:rsidRPr="003E3548">
        <w:rPr>
          <w:rFonts w:cs="Times New Roman"/>
        </w:rPr>
        <w:t>_________________</w:t>
      </w:r>
      <w:r>
        <w:rPr>
          <w:rFonts w:cs="Times New Roman"/>
        </w:rPr>
        <w:t xml:space="preserve"> system to predict whether the </w:t>
      </w:r>
      <w:r w:rsidRPr="003E3548">
        <w:rPr>
          <w:rFonts w:cs="Times New Roman"/>
        </w:rPr>
        <w:t xml:space="preserve">_________________ </w:t>
      </w:r>
      <w:r>
        <w:rPr>
          <w:rFonts w:cs="Times New Roman"/>
        </w:rPr>
        <w:t>system is stable.</w:t>
      </w:r>
    </w:p>
    <w:p w14:paraId="2F577AE8" w14:textId="77777777" w:rsidR="003E3548" w:rsidRDefault="003E3548">
      <w:pPr>
        <w:rPr>
          <w:rFonts w:ascii="Times New Roman" w:hAnsi="Times New Roman" w:cs="Times New Roman"/>
        </w:rPr>
      </w:pPr>
    </w:p>
    <w:p w14:paraId="7ECDC753" w14:textId="0846D2D8" w:rsidR="00D94388" w:rsidRDefault="00D94388" w:rsidP="00D9438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the following variables represent?</w:t>
      </w:r>
    </w:p>
    <w:p w14:paraId="77335B69" w14:textId="217627B1" w:rsidR="00D94388" w:rsidRDefault="00D94388" w:rsidP="00D94388">
      <w:pPr>
        <w:spacing w:line="276" w:lineRule="auto"/>
        <w:rPr>
          <w:rFonts w:ascii="Times New Roman" w:hAnsi="Times New Roman" w:cs="Times New Roman"/>
        </w:rPr>
      </w:pPr>
      <w:r w:rsidRPr="00D94388"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: ___________________________</w:t>
      </w:r>
    </w:p>
    <w:p w14:paraId="67B19275" w14:textId="1B339F2D" w:rsidR="00D94388" w:rsidRDefault="00D94388" w:rsidP="00D94388">
      <w:pPr>
        <w:spacing w:line="276" w:lineRule="auto"/>
        <w:rPr>
          <w:rFonts w:ascii="Times New Roman" w:hAnsi="Times New Roman" w:cs="Times New Roman"/>
        </w:rPr>
      </w:pPr>
      <w:r w:rsidRPr="00D94388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: ___________________________</w:t>
      </w:r>
    </w:p>
    <w:p w14:paraId="224C8C6A" w14:textId="401A0609" w:rsidR="00D94388" w:rsidRDefault="00D94388" w:rsidP="00D94388">
      <w:pPr>
        <w:spacing w:line="276" w:lineRule="auto"/>
        <w:rPr>
          <w:rFonts w:ascii="Times New Roman" w:hAnsi="Times New Roman" w:cs="Times New Roman"/>
        </w:rPr>
      </w:pPr>
      <w:r w:rsidRPr="00D94388"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: ___________________________</w:t>
      </w:r>
    </w:p>
    <w:p w14:paraId="4A12E0E9" w14:textId="0504EFEE" w:rsidR="003E3548" w:rsidRDefault="003E3548" w:rsidP="003E3548">
      <w:pPr>
        <w:pStyle w:val="Heading3"/>
      </w:pPr>
      <w:r>
        <w:t>Sketching a Nyquist Plot</w:t>
      </w:r>
    </w:p>
    <w:p w14:paraId="4C4EC5BE" w14:textId="7544005A" w:rsidR="003E3548" w:rsidRDefault="003E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a closed-loop, negative unity feedback system with forward gain </w:t>
      </w:r>
    </w:p>
    <w:p w14:paraId="25F113E1" w14:textId="346CAEC9" w:rsidR="003E3548" w:rsidRDefault="003E3548" w:rsidP="003E3548">
      <w:pPr>
        <w:jc w:val="center"/>
        <w:rPr>
          <w:rFonts w:ascii="Times New Roman" w:hAnsi="Times New Roman" w:cs="Times New Roman"/>
        </w:rPr>
      </w:pPr>
      <w:r w:rsidRPr="003E3548">
        <w:rPr>
          <w:position w:val="-24"/>
        </w:rPr>
        <w:object w:dxaOrig="1880" w:dyaOrig="620" w14:anchorId="1C391B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4pt;height:33pt" o:ole="">
            <v:imagedata r:id="rId8" o:title=""/>
          </v:shape>
          <o:OLEObject Type="Embed" ProgID="Equation.3" ShapeID="_x0000_i1025" DrawAspect="Content" ObjectID="_1729416552" r:id="rId9"/>
        </w:object>
      </w:r>
      <w:r>
        <w:rPr>
          <w:rFonts w:ascii="Times New Roman" w:hAnsi="Times New Roman" w:cs="Times New Roman"/>
        </w:rPr>
        <w:t>,</w:t>
      </w:r>
    </w:p>
    <w:p w14:paraId="50CBC5B6" w14:textId="7ABB6BD6" w:rsidR="003E3548" w:rsidRDefault="003E3548" w:rsidP="003E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has the Bode plot shown in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REF _Ref434588198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A72311">
        <w:t xml:space="preserve">Figure </w:t>
      </w:r>
      <w:r w:rsidR="00A72311">
        <w:rPr>
          <w:noProof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6A7B8349" w14:textId="77777777" w:rsidR="003E3548" w:rsidRDefault="003E3548" w:rsidP="000B0569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E68D1B" wp14:editId="0E7B40D9">
            <wp:extent cx="4213654" cy="3160241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41" cy="316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6360" w14:textId="090E6964" w:rsidR="003E3548" w:rsidRDefault="003E3548" w:rsidP="003E3548">
      <w:pPr>
        <w:pStyle w:val="Caption"/>
        <w:jc w:val="center"/>
        <w:rPr>
          <w:rFonts w:ascii="Times New Roman" w:hAnsi="Times New Roman" w:cs="Times New Roman"/>
        </w:rPr>
      </w:pPr>
      <w:bookmarkStart w:id="1" w:name="_Ref434588198"/>
      <w:r>
        <w:t xml:space="preserve">Figure </w:t>
      </w:r>
      <w:fldSimple w:instr=" SEQ Figure \* ARABIC ">
        <w:r w:rsidR="00A72311">
          <w:rPr>
            <w:noProof/>
          </w:rPr>
          <w:t>1</w:t>
        </w:r>
      </w:fldSimple>
      <w:bookmarkEnd w:id="1"/>
      <w:r>
        <w:t>: Bode plot for G(s)</w:t>
      </w:r>
    </w:p>
    <w:p w14:paraId="683295AD" w14:textId="3672B0B5" w:rsidR="003E3548" w:rsidRPr="00704D06" w:rsidRDefault="003E3548" w:rsidP="0070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04D06">
        <w:rPr>
          <w:rFonts w:ascii="Times New Roman" w:hAnsi="Times New Roman" w:cs="Times New Roman"/>
        </w:rPr>
        <w:t xml:space="preserve">Select at least 8 frequencies on the Bode plot and use them to sketch the Nyquist plot in </w:t>
      </w:r>
      <w:r w:rsidRPr="00704D06">
        <w:rPr>
          <w:rFonts w:ascii="Times New Roman" w:hAnsi="Times New Roman" w:cs="Times New Roman"/>
        </w:rPr>
        <w:fldChar w:fldCharType="begin"/>
      </w:r>
      <w:r w:rsidRPr="00704D06">
        <w:rPr>
          <w:rFonts w:ascii="Times New Roman" w:hAnsi="Times New Roman" w:cs="Times New Roman"/>
        </w:rPr>
        <w:instrText xml:space="preserve"> REF _Ref434588219 \h </w:instrText>
      </w:r>
      <w:r w:rsidRPr="00704D06">
        <w:rPr>
          <w:rFonts w:ascii="Times New Roman" w:hAnsi="Times New Roman" w:cs="Times New Roman"/>
        </w:rPr>
      </w:r>
      <w:r w:rsidRPr="00704D06">
        <w:rPr>
          <w:rFonts w:ascii="Times New Roman" w:hAnsi="Times New Roman" w:cs="Times New Roman"/>
        </w:rPr>
        <w:fldChar w:fldCharType="separate"/>
      </w:r>
      <w:r w:rsidR="00A72311">
        <w:t xml:space="preserve">Figure </w:t>
      </w:r>
      <w:r w:rsidR="00A72311">
        <w:rPr>
          <w:noProof/>
        </w:rPr>
        <w:t>2</w:t>
      </w:r>
      <w:r w:rsidRPr="00704D06">
        <w:rPr>
          <w:rFonts w:ascii="Times New Roman" w:hAnsi="Times New Roman" w:cs="Times New Roman"/>
        </w:rPr>
        <w:fldChar w:fldCharType="end"/>
      </w:r>
      <w:r w:rsidRPr="00704D06">
        <w:rPr>
          <w:rFonts w:ascii="Times New Roman" w:hAnsi="Times New Roman" w:cs="Times New Roman"/>
        </w:rPr>
        <w:t xml:space="preserve">. If you don’t have a calculator, </w:t>
      </w:r>
      <w:r w:rsidRPr="00704D06">
        <w:rPr>
          <w:rFonts w:ascii="Times New Roman" w:hAnsi="Times New Roman" w:cs="Times New Roman"/>
        </w:rPr>
        <w:fldChar w:fldCharType="begin"/>
      </w:r>
      <w:r w:rsidRPr="00704D06">
        <w:rPr>
          <w:rFonts w:ascii="Times New Roman" w:hAnsi="Times New Roman" w:cs="Times New Roman"/>
        </w:rPr>
        <w:instrText xml:space="preserve"> REF _Ref434588242 \h </w:instrText>
      </w:r>
      <w:r w:rsidRPr="00704D06">
        <w:rPr>
          <w:rFonts w:ascii="Times New Roman" w:hAnsi="Times New Roman" w:cs="Times New Roman"/>
        </w:rPr>
      </w:r>
      <w:r w:rsidRPr="00704D06">
        <w:rPr>
          <w:rFonts w:ascii="Times New Roman" w:hAnsi="Times New Roman" w:cs="Times New Roman"/>
        </w:rPr>
        <w:fldChar w:fldCharType="separate"/>
      </w:r>
      <w:r w:rsidR="00A72311">
        <w:t xml:space="preserve">Figure </w:t>
      </w:r>
      <w:r w:rsidR="00A72311">
        <w:rPr>
          <w:noProof/>
        </w:rPr>
        <w:t>3</w:t>
      </w:r>
      <w:r w:rsidRPr="00704D06">
        <w:rPr>
          <w:rFonts w:ascii="Times New Roman" w:hAnsi="Times New Roman" w:cs="Times New Roman"/>
        </w:rPr>
        <w:fldChar w:fldCharType="end"/>
      </w:r>
      <w:r w:rsidRPr="00704D06">
        <w:rPr>
          <w:rFonts w:ascii="Times New Roman" w:hAnsi="Times New Roman" w:cs="Times New Roman"/>
        </w:rPr>
        <w:t xml:space="preserve"> will enable you to convert from magnitude to magnitude in dB and vice versa.</w:t>
      </w:r>
    </w:p>
    <w:p w14:paraId="5D7F41A4" w14:textId="77777777" w:rsidR="003E3548" w:rsidRDefault="003E3548">
      <w:pPr>
        <w:rPr>
          <w:rFonts w:ascii="Times New Roman" w:hAnsi="Times New Roman" w:cs="Times New Roman"/>
        </w:rPr>
      </w:pPr>
    </w:p>
    <w:p w14:paraId="4001CC15" w14:textId="5C428834" w:rsidR="003E3548" w:rsidRDefault="003E3548" w:rsidP="003E3548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DD92A8" wp14:editId="7F701904">
            <wp:extent cx="512064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BB1D" w14:textId="645A1053" w:rsidR="003E3548" w:rsidRDefault="003E3548" w:rsidP="003E3548">
      <w:pPr>
        <w:pStyle w:val="Caption"/>
        <w:jc w:val="center"/>
        <w:rPr>
          <w:rFonts w:ascii="Times New Roman" w:hAnsi="Times New Roman" w:cs="Times New Roman"/>
        </w:rPr>
      </w:pPr>
      <w:bookmarkStart w:id="2" w:name="_Ref434588219"/>
      <w:r>
        <w:t xml:space="preserve">Figure </w:t>
      </w:r>
      <w:fldSimple w:instr=" SEQ Figure \* ARABIC ">
        <w:r w:rsidR="00A72311">
          <w:rPr>
            <w:noProof/>
          </w:rPr>
          <w:t>2</w:t>
        </w:r>
      </w:fldSimple>
      <w:bookmarkEnd w:id="2"/>
      <w:r>
        <w:t>: Nyquist plot axes</w:t>
      </w:r>
    </w:p>
    <w:p w14:paraId="5B8B384E" w14:textId="77777777" w:rsidR="00704D06" w:rsidRDefault="00704D06" w:rsidP="00704D06">
      <w:pPr>
        <w:rPr>
          <w:rFonts w:ascii="Times New Roman" w:hAnsi="Times New Roman" w:cs="Times New Roman"/>
        </w:rPr>
      </w:pPr>
    </w:p>
    <w:p w14:paraId="06FBEBB2" w14:textId="1BB954D7" w:rsidR="00704D06" w:rsidRDefault="00704D06" w:rsidP="0070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04D06">
        <w:rPr>
          <w:rFonts w:ascii="Times New Roman" w:hAnsi="Times New Roman" w:cs="Times New Roman"/>
        </w:rPr>
        <w:t xml:space="preserve">Based on your Nyquist plot and values you determine for </w:t>
      </w:r>
      <w:r w:rsidRPr="00D94388">
        <w:rPr>
          <w:rFonts w:ascii="Times New Roman" w:hAnsi="Times New Roman" w:cs="Times New Roman"/>
          <w:i/>
        </w:rPr>
        <w:t>P</w:t>
      </w:r>
      <w:r w:rsidRPr="00704D06">
        <w:rPr>
          <w:rFonts w:ascii="Times New Roman" w:hAnsi="Times New Roman" w:cs="Times New Roman"/>
        </w:rPr>
        <w:t xml:space="preserve">, </w:t>
      </w:r>
      <w:r w:rsidRPr="00D94388">
        <w:rPr>
          <w:rFonts w:ascii="Times New Roman" w:hAnsi="Times New Roman" w:cs="Times New Roman"/>
          <w:i/>
        </w:rPr>
        <w:t>N</w:t>
      </w:r>
      <w:r w:rsidRPr="00704D06">
        <w:rPr>
          <w:rFonts w:ascii="Times New Roman" w:hAnsi="Times New Roman" w:cs="Times New Roman"/>
        </w:rPr>
        <w:t xml:space="preserve">, and </w:t>
      </w:r>
      <w:r w:rsidRPr="00D94388">
        <w:rPr>
          <w:rFonts w:ascii="Times New Roman" w:hAnsi="Times New Roman" w:cs="Times New Roman"/>
          <w:i/>
        </w:rPr>
        <w:t>Z</w:t>
      </w:r>
      <w:r w:rsidRPr="00704D06">
        <w:rPr>
          <w:rFonts w:ascii="Times New Roman" w:hAnsi="Times New Roman" w:cs="Times New Roman"/>
        </w:rPr>
        <w:t>, is the closed-loop system stable?</w:t>
      </w:r>
      <w:r w:rsidR="00F26621">
        <w:rPr>
          <w:rFonts w:ascii="Times New Roman" w:hAnsi="Times New Roman" w:cs="Times New Roman"/>
        </w:rPr>
        <w:t xml:space="preserve"> </w:t>
      </w:r>
    </w:p>
    <w:p w14:paraId="3CCBA019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4B12C24B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29B498A8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2E5393EE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68CA654C" w14:textId="77777777" w:rsidR="00F26621" w:rsidRDefault="00F26621" w:rsidP="00F50D4C">
      <w:pPr>
        <w:rPr>
          <w:rFonts w:ascii="Times New Roman" w:hAnsi="Times New Roman" w:cs="Times New Roman"/>
        </w:rPr>
      </w:pPr>
    </w:p>
    <w:p w14:paraId="379CF6EB" w14:textId="77777777" w:rsidR="00F26621" w:rsidRDefault="00F26621" w:rsidP="00F50D4C">
      <w:pPr>
        <w:rPr>
          <w:rFonts w:ascii="Times New Roman" w:hAnsi="Times New Roman" w:cs="Times New Roman"/>
        </w:rPr>
      </w:pPr>
    </w:p>
    <w:p w14:paraId="575ED3EC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10511D9B" w14:textId="77777777" w:rsidR="00F50D4C" w:rsidRPr="00F50D4C" w:rsidRDefault="00F50D4C" w:rsidP="00F50D4C">
      <w:pPr>
        <w:rPr>
          <w:rFonts w:ascii="Times New Roman" w:hAnsi="Times New Roman" w:cs="Times New Roman"/>
        </w:rPr>
      </w:pPr>
    </w:p>
    <w:p w14:paraId="5B44C941" w14:textId="224AE583" w:rsidR="003E3548" w:rsidRDefault="00F50D4C" w:rsidP="003E3548">
      <w:pPr>
        <w:keepNext/>
        <w:jc w:val="center"/>
      </w:pPr>
      <w:r w:rsidRPr="00F50D4C">
        <w:object w:dxaOrig="8616" w:dyaOrig="2856" w14:anchorId="73D6BF6A">
          <v:shape id="_x0000_i1026" type="#_x0000_t75" style="width:318.6pt;height:105pt" o:ole="">
            <v:imagedata r:id="rId12" o:title=""/>
          </v:shape>
          <o:OLEObject Type="Embed" ProgID="AcroExch.Document.DC" ShapeID="_x0000_i1026" DrawAspect="Content" ObjectID="_1729416553" r:id="rId13"/>
        </w:object>
      </w:r>
    </w:p>
    <w:p w14:paraId="10E6F2D4" w14:textId="6EF84820" w:rsidR="00F26621" w:rsidRDefault="003E3548" w:rsidP="00F26621">
      <w:pPr>
        <w:pStyle w:val="Caption"/>
        <w:jc w:val="center"/>
        <w:rPr>
          <w:rFonts w:ascii="Times New Roman" w:hAnsi="Times New Roman" w:cs="Times New Roman"/>
        </w:rPr>
      </w:pPr>
      <w:bookmarkStart w:id="3" w:name="_Ref434588242"/>
      <w:r>
        <w:t xml:space="preserve">Figure </w:t>
      </w:r>
      <w:fldSimple w:instr=" SEQ Figure \* ARABIC ">
        <w:r w:rsidR="00A72311">
          <w:rPr>
            <w:noProof/>
          </w:rPr>
          <w:t>3</w:t>
        </w:r>
      </w:fldSimple>
      <w:bookmarkEnd w:id="3"/>
      <w:r>
        <w:t>: dB conversion plot</w:t>
      </w:r>
    </w:p>
    <w:sectPr w:rsidR="00F2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B772B9" w14:textId="77777777" w:rsidR="006D6926" w:rsidRDefault="006D6926" w:rsidP="00B61791">
      <w:r>
        <w:separator/>
      </w:r>
    </w:p>
  </w:endnote>
  <w:endnote w:type="continuationSeparator" w:id="0">
    <w:p w14:paraId="3D606C13" w14:textId="77777777" w:rsidR="006D6926" w:rsidRDefault="006D6926" w:rsidP="00B6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BBBD4D" w14:textId="77777777" w:rsidR="006D6926" w:rsidRDefault="006D6926" w:rsidP="00B61791">
      <w:r>
        <w:separator/>
      </w:r>
    </w:p>
  </w:footnote>
  <w:footnote w:type="continuationSeparator" w:id="0">
    <w:p w14:paraId="1748C925" w14:textId="77777777" w:rsidR="006D6926" w:rsidRDefault="006D6926" w:rsidP="00B61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007552"/>
    <w:multiLevelType w:val="hybridMultilevel"/>
    <w:tmpl w:val="5D9A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77351"/>
    <w:multiLevelType w:val="hybridMultilevel"/>
    <w:tmpl w:val="FD2E5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67F65"/>
    <w:multiLevelType w:val="hybridMultilevel"/>
    <w:tmpl w:val="3DDCADD6"/>
    <w:lvl w:ilvl="0" w:tplc="80FA5F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D09E2"/>
    <w:multiLevelType w:val="hybridMultilevel"/>
    <w:tmpl w:val="0B6A276C"/>
    <w:lvl w:ilvl="0" w:tplc="3C48FF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0B24"/>
    <w:rsid w:val="000171D6"/>
    <w:rsid w:val="00026EBF"/>
    <w:rsid w:val="000320AF"/>
    <w:rsid w:val="000725FD"/>
    <w:rsid w:val="000975E4"/>
    <w:rsid w:val="0009788E"/>
    <w:rsid w:val="000A2BE0"/>
    <w:rsid w:val="000A6D91"/>
    <w:rsid w:val="000B0569"/>
    <w:rsid w:val="000B26F0"/>
    <w:rsid w:val="000D3364"/>
    <w:rsid w:val="000E0A1F"/>
    <w:rsid w:val="0010336D"/>
    <w:rsid w:val="001061BE"/>
    <w:rsid w:val="00110895"/>
    <w:rsid w:val="001320F8"/>
    <w:rsid w:val="00160693"/>
    <w:rsid w:val="001814A5"/>
    <w:rsid w:val="0018303E"/>
    <w:rsid w:val="0018443E"/>
    <w:rsid w:val="0019003D"/>
    <w:rsid w:val="001B4F3C"/>
    <w:rsid w:val="001F7868"/>
    <w:rsid w:val="00206C55"/>
    <w:rsid w:val="002105C2"/>
    <w:rsid w:val="00215BFD"/>
    <w:rsid w:val="00221815"/>
    <w:rsid w:val="0022722C"/>
    <w:rsid w:val="00242D0B"/>
    <w:rsid w:val="00260BD2"/>
    <w:rsid w:val="00267298"/>
    <w:rsid w:val="0027477A"/>
    <w:rsid w:val="00282499"/>
    <w:rsid w:val="00287A30"/>
    <w:rsid w:val="002A661B"/>
    <w:rsid w:val="002B7E6A"/>
    <w:rsid w:val="002C2569"/>
    <w:rsid w:val="002F3939"/>
    <w:rsid w:val="0030280A"/>
    <w:rsid w:val="003045FD"/>
    <w:rsid w:val="00310FA8"/>
    <w:rsid w:val="00325980"/>
    <w:rsid w:val="00344445"/>
    <w:rsid w:val="00344569"/>
    <w:rsid w:val="00345F0D"/>
    <w:rsid w:val="00353353"/>
    <w:rsid w:val="00355143"/>
    <w:rsid w:val="00367B5A"/>
    <w:rsid w:val="00373A09"/>
    <w:rsid w:val="003B1F3F"/>
    <w:rsid w:val="003B35FB"/>
    <w:rsid w:val="003D3726"/>
    <w:rsid w:val="003E3548"/>
    <w:rsid w:val="003E4FE6"/>
    <w:rsid w:val="003F279B"/>
    <w:rsid w:val="003F3C86"/>
    <w:rsid w:val="004007AC"/>
    <w:rsid w:val="0040426F"/>
    <w:rsid w:val="00414271"/>
    <w:rsid w:val="00420D6B"/>
    <w:rsid w:val="0047419E"/>
    <w:rsid w:val="00484913"/>
    <w:rsid w:val="004912BE"/>
    <w:rsid w:val="00492E65"/>
    <w:rsid w:val="004D16C7"/>
    <w:rsid w:val="004D28FB"/>
    <w:rsid w:val="004D56EE"/>
    <w:rsid w:val="004E50E8"/>
    <w:rsid w:val="00507E30"/>
    <w:rsid w:val="0052648F"/>
    <w:rsid w:val="0053079F"/>
    <w:rsid w:val="005343B8"/>
    <w:rsid w:val="00542DC7"/>
    <w:rsid w:val="0055210B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70B24"/>
    <w:rsid w:val="00695027"/>
    <w:rsid w:val="0069714A"/>
    <w:rsid w:val="006C1C27"/>
    <w:rsid w:val="006D6926"/>
    <w:rsid w:val="006E04EF"/>
    <w:rsid w:val="006E429B"/>
    <w:rsid w:val="006F0F97"/>
    <w:rsid w:val="00704D06"/>
    <w:rsid w:val="00744E7B"/>
    <w:rsid w:val="007567D5"/>
    <w:rsid w:val="00761397"/>
    <w:rsid w:val="00775947"/>
    <w:rsid w:val="00786B22"/>
    <w:rsid w:val="007A165C"/>
    <w:rsid w:val="007B61E7"/>
    <w:rsid w:val="007C77B6"/>
    <w:rsid w:val="007E2647"/>
    <w:rsid w:val="007E4F52"/>
    <w:rsid w:val="00826363"/>
    <w:rsid w:val="00832710"/>
    <w:rsid w:val="0084448D"/>
    <w:rsid w:val="00846A80"/>
    <w:rsid w:val="00866988"/>
    <w:rsid w:val="00873E10"/>
    <w:rsid w:val="008968FA"/>
    <w:rsid w:val="00896BD2"/>
    <w:rsid w:val="008A17F0"/>
    <w:rsid w:val="008A3A46"/>
    <w:rsid w:val="008A487E"/>
    <w:rsid w:val="008D673B"/>
    <w:rsid w:val="008F7BCE"/>
    <w:rsid w:val="00922B24"/>
    <w:rsid w:val="00962C3A"/>
    <w:rsid w:val="00973E18"/>
    <w:rsid w:val="00974AB0"/>
    <w:rsid w:val="00975F3A"/>
    <w:rsid w:val="009A4894"/>
    <w:rsid w:val="009B3141"/>
    <w:rsid w:val="009B7916"/>
    <w:rsid w:val="009C2F12"/>
    <w:rsid w:val="009D1DBF"/>
    <w:rsid w:val="009D2C20"/>
    <w:rsid w:val="009E0D99"/>
    <w:rsid w:val="009F5A42"/>
    <w:rsid w:val="009F7C03"/>
    <w:rsid w:val="00A208D9"/>
    <w:rsid w:val="00A32340"/>
    <w:rsid w:val="00A33152"/>
    <w:rsid w:val="00A43394"/>
    <w:rsid w:val="00A50619"/>
    <w:rsid w:val="00A50B66"/>
    <w:rsid w:val="00A54308"/>
    <w:rsid w:val="00A600E3"/>
    <w:rsid w:val="00A640AC"/>
    <w:rsid w:val="00A67167"/>
    <w:rsid w:val="00A72311"/>
    <w:rsid w:val="00A87538"/>
    <w:rsid w:val="00A97A5D"/>
    <w:rsid w:val="00AA40EA"/>
    <w:rsid w:val="00AC1DD8"/>
    <w:rsid w:val="00AD6F52"/>
    <w:rsid w:val="00AE2B30"/>
    <w:rsid w:val="00AE2F23"/>
    <w:rsid w:val="00AE79B5"/>
    <w:rsid w:val="00AF627F"/>
    <w:rsid w:val="00B073AC"/>
    <w:rsid w:val="00B14E9D"/>
    <w:rsid w:val="00B27C04"/>
    <w:rsid w:val="00B40AE8"/>
    <w:rsid w:val="00B45441"/>
    <w:rsid w:val="00B57DC4"/>
    <w:rsid w:val="00B61791"/>
    <w:rsid w:val="00B641AD"/>
    <w:rsid w:val="00B65886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16236"/>
    <w:rsid w:val="00C4000D"/>
    <w:rsid w:val="00C418B3"/>
    <w:rsid w:val="00C47DEA"/>
    <w:rsid w:val="00C52AC5"/>
    <w:rsid w:val="00C72A1A"/>
    <w:rsid w:val="00C763F5"/>
    <w:rsid w:val="00C81282"/>
    <w:rsid w:val="00CA1DD0"/>
    <w:rsid w:val="00CA2DB7"/>
    <w:rsid w:val="00CA5B41"/>
    <w:rsid w:val="00CA6C35"/>
    <w:rsid w:val="00CE0430"/>
    <w:rsid w:val="00CE116B"/>
    <w:rsid w:val="00D005DD"/>
    <w:rsid w:val="00D021A5"/>
    <w:rsid w:val="00D055B1"/>
    <w:rsid w:val="00D21422"/>
    <w:rsid w:val="00D26963"/>
    <w:rsid w:val="00D66523"/>
    <w:rsid w:val="00D87FA5"/>
    <w:rsid w:val="00D94388"/>
    <w:rsid w:val="00DA2ED3"/>
    <w:rsid w:val="00DC1292"/>
    <w:rsid w:val="00DC2FA5"/>
    <w:rsid w:val="00DC7610"/>
    <w:rsid w:val="00DD79D6"/>
    <w:rsid w:val="00DE7FC9"/>
    <w:rsid w:val="00E13C25"/>
    <w:rsid w:val="00E14363"/>
    <w:rsid w:val="00E63524"/>
    <w:rsid w:val="00E644DB"/>
    <w:rsid w:val="00E66D31"/>
    <w:rsid w:val="00E838D0"/>
    <w:rsid w:val="00E90DD9"/>
    <w:rsid w:val="00EC46A2"/>
    <w:rsid w:val="00EF57FB"/>
    <w:rsid w:val="00F01216"/>
    <w:rsid w:val="00F169FF"/>
    <w:rsid w:val="00F26621"/>
    <w:rsid w:val="00F50D4C"/>
    <w:rsid w:val="00F633EB"/>
    <w:rsid w:val="00F75758"/>
    <w:rsid w:val="00F939B3"/>
    <w:rsid w:val="00FA13EA"/>
    <w:rsid w:val="00FB056C"/>
    <w:rsid w:val="00FB5A71"/>
    <w:rsid w:val="00FB6395"/>
    <w:rsid w:val="00FF10A3"/>
    <w:rsid w:val="00FF13B4"/>
    <w:rsid w:val="21EEA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E990"/>
  <w15:docId w15:val="{CE6BEF5C-1EBA-4B07-AB02-F5F221FA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F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5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5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4F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E6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4FE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A2D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D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DB7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D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DB7"/>
    <w:rPr>
      <w:rFonts w:eastAsiaTheme="minorEastAsia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17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79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617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791"/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6C1C27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E35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354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E7B7C4D4-A308-463D-9EA3-F59C9B981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5152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Kathryn Johnson</dc:creator>
  <cp:lastModifiedBy>Kathryn Johnson</cp:lastModifiedBy>
  <cp:revision>28</cp:revision>
  <cp:lastPrinted>2022-04-14T17:21:00Z</cp:lastPrinted>
  <dcterms:created xsi:type="dcterms:W3CDTF">2015-08-21T23:16:00Z</dcterms:created>
  <dcterms:modified xsi:type="dcterms:W3CDTF">2022-11-08T19:43:00Z</dcterms:modified>
</cp:coreProperties>
</file>