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 Data Analysis (EDA)</w:t>
      </w:r>
    </w:p>
    <w:p>
      <w:pPr>
        <w:pStyle w:val="Subtitle"/>
      </w:pPr>
      <w:r>
        <w:t xml:space="preserve">Visualizing and Interpreting Job Market Trends</w:t>
      </w:r>
    </w:p>
    <w:p>
      <w:pPr>
        <w:pStyle w:val="Author"/>
      </w:pPr>
      <w:r>
        <w:t xml:space="preserve">Connor Coulter</w:t>
      </w:r>
    </w:p>
    <w:p>
      <w:pPr>
        <w:pStyle w:val="Author"/>
      </w:pPr>
      <w:r>
        <w:t xml:space="preserve">Wei Wang</w:t>
      </w:r>
    </w:p>
    <w:p>
      <w:pPr>
        <w:pStyle w:val="Author"/>
      </w:pPr>
      <w:r>
        <w:t xml:space="preserve">Balqis Bevi Abdul Hannan Kanaga</w:t>
      </w:r>
    </w:p>
    <w:bookmarkStart w:id="25" w:name="job-postings-by-industry-top-15"/>
    <w:p>
      <w:pPr>
        <w:pStyle w:val="Heading1"/>
      </w:pPr>
      <w:r>
        <w:t xml:space="preserve">Job Postings by Industry (Top 15)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_files/figure-docx/cell-3-output-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rationale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Highlights sectors where demand is concentrated, showing which industries are actively hiring.</w:t>
      </w:r>
    </w:p>
    <w:bookmarkEnd w:id="23"/>
    <w:bookmarkStart w:id="24" w:name="key-insights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1"/>
        </w:numPr>
      </w:pPr>
      <w:r>
        <w:t xml:space="preserve">Top Hiring Industries:</w:t>
      </w:r>
      <w:r>
        <w:t xml:space="preserve"> </w:t>
      </w:r>
      <w:r>
        <w:t xml:space="preserve">Custom Computer Programming, Management Consulting, and Employment Agencies dominate job postings.</w:t>
      </w:r>
    </w:p>
    <w:p>
      <w:pPr>
        <w:pStyle w:val="Compact"/>
        <w:numPr>
          <w:ilvl w:val="0"/>
          <w:numId w:val="1001"/>
        </w:numPr>
      </w:pPr>
      <w:r>
        <w:t xml:space="preserve">Skewed Distribution:</w:t>
      </w:r>
      <w:r>
        <w:t xml:space="preserve"> </w:t>
      </w:r>
      <w:r>
        <w:t xml:space="preserve">The top 4 industries account for a significantly larger share of job postings than the rest.</w:t>
      </w:r>
    </w:p>
    <w:p>
      <w:pPr>
        <w:pStyle w:val="Compact"/>
        <w:numPr>
          <w:ilvl w:val="0"/>
          <w:numId w:val="1001"/>
        </w:numPr>
      </w:pPr>
      <w:r>
        <w:t xml:space="preserve">Professional Services Focus:</w:t>
      </w:r>
      <w:r>
        <w:t xml:space="preserve"> </w:t>
      </w:r>
      <w:r>
        <w:t xml:space="preserve">Many high-posting sectors are centered around tech, consulting, healthcare and education — reflecting demand for knowledge-based roles.</w:t>
      </w:r>
    </w:p>
    <w:bookmarkEnd w:id="24"/>
    <w:bookmarkEnd w:id="25"/>
    <w:bookmarkStart w:id="31" w:name="salary-distribution-by-industry-top-15"/>
    <w:p>
      <w:pPr>
        <w:pStyle w:val="Heading1"/>
      </w:pPr>
      <w:r>
        <w:t xml:space="preserve">Salary Distribution by Industry (Top 15)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da_files/figure-docx/cell-4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rationale-1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Shows where negotiation power exists and highlights industries paying well.</w:t>
      </w:r>
    </w:p>
    <w:bookmarkEnd w:id="29"/>
    <w:bookmarkStart w:id="30" w:name="key-insights-1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2"/>
        </w:numPr>
      </w:pPr>
      <w:r>
        <w:t xml:space="preserve">Wide Salary Ranges in Staffing &amp; Tech Services:</w:t>
      </w:r>
      <w:r>
        <w:t xml:space="preserve"> </w:t>
      </w:r>
      <w:r>
        <w:t xml:space="preserve">Industries like Temporary Help Services and Employment Placement Agencies exhibit large salary spreads with high outliers, though their median pay remains modest.</w:t>
      </w:r>
    </w:p>
    <w:p>
      <w:pPr>
        <w:pStyle w:val="Compact"/>
        <w:numPr>
          <w:ilvl w:val="0"/>
          <w:numId w:val="1002"/>
        </w:numPr>
      </w:pPr>
      <w:r>
        <w:t xml:space="preserve">Stable Pay in Professional Sectors:</w:t>
      </w:r>
      <w:r>
        <w:t xml:space="preserve"> </w:t>
      </w:r>
      <w:r>
        <w:t xml:space="preserve">Most industries maintain a consistent median salary around $100K–$150K, reflecting standardized compensation and less variation in negotiation power.</w:t>
      </w:r>
    </w:p>
    <w:bookmarkEnd w:id="30"/>
    <w:bookmarkEnd w:id="31"/>
    <w:bookmarkStart w:id="37" w:name="remote-vs.-on-site-jobs"/>
    <w:p>
      <w:pPr>
        <w:pStyle w:val="Heading1"/>
      </w:pPr>
      <w:r>
        <w:t xml:space="preserve">Remote vs. On-Site Jobs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a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rationale-2"/>
    <w:p>
      <w:pPr>
        <w:pStyle w:val="Heading2"/>
      </w:pPr>
      <w:r>
        <w:t xml:space="preserve">Rationale</w:t>
      </w:r>
    </w:p>
    <w:p>
      <w:pPr>
        <w:pStyle w:val="FirstParagraph"/>
      </w:pPr>
      <w:r>
        <w:t xml:space="preserve">Workplace flexibility is a major factor in today’s job market.</w:t>
      </w:r>
    </w:p>
    <w:bookmarkEnd w:id="35"/>
    <w:bookmarkStart w:id="36" w:name="key-insights-2"/>
    <w:p>
      <w:pPr>
        <w:pStyle w:val="Heading2"/>
      </w:pPr>
      <w:r>
        <w:t xml:space="preserve">Key Insights</w:t>
      </w:r>
    </w:p>
    <w:p>
      <w:pPr>
        <w:pStyle w:val="Compact"/>
        <w:numPr>
          <w:ilvl w:val="0"/>
          <w:numId w:val="1003"/>
        </w:numPr>
      </w:pPr>
      <w:r>
        <w:t xml:space="preserve">Limited Remote Availability:</w:t>
      </w:r>
      <w:r>
        <w:t xml:space="preserve"> </w:t>
      </w:r>
      <w:r>
        <w:t xml:space="preserve">Only about 17% of job postings are labeled as Remote, with Hybrid Remote and Not Remote making up even smaller portions.</w:t>
      </w:r>
    </w:p>
    <w:p>
      <w:pPr>
        <w:pStyle w:val="Compact"/>
        <w:numPr>
          <w:ilvl w:val="0"/>
          <w:numId w:val="1003"/>
        </w:numPr>
      </w:pPr>
      <w:r>
        <w:t xml:space="preserve">Data Gaps in Job Listings:</w:t>
      </w:r>
      <w:r>
        <w:t xml:space="preserve"> </w:t>
      </w:r>
      <w:r>
        <w:t xml:space="preserve">A significant 78.3% of postings lack remote classification, indicating either incomplete employer data or inconsistent labeling, which may affect job seekers’ filtering and selection.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 (EDA)</dc:title>
  <dc:creator>Connor Coulter; Wei Wang; Balqis Bevi Abdul Hannan Kanaga</dc:creator>
  <cp:keywords/>
  <dcterms:created xsi:type="dcterms:W3CDTF">2025-09-30T23:22:30Z</dcterms:created>
  <dcterms:modified xsi:type="dcterms:W3CDTF">2025-09-30T23:22:30Z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csl/econometrica.csl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python3</vt:lpwstr>
  </property>
  <property fmtid="{D5CDD505-2E9C-101B-9397-08002B2CF9AE}" pid="14" name="labels">
    <vt:lpwstr/>
  </property>
  <property fmtid="{D5CDD505-2E9C-101B-9397-08002B2CF9AE}" pid="15" name="subtitle">
    <vt:lpwstr>Visualizing and Interpreting Job Market Trends</vt:lpwstr>
  </property>
  <property fmtid="{D5CDD505-2E9C-101B-9397-08002B2CF9AE}" pid="16" name="toc-title">
    <vt:lpwstr>Table of contents</vt:lpwstr>
  </property>
</Properties>
</file>