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0"/>
      </w:pPr>
      <w:r>
        <w:t xml:space="preserve">Fire Extinguisher Management System</w:t>
      </w:r>
    </w:p>
    <w:p>
      <w:pPr>
        <w:spacing w:after="80"/>
        <w:jc w:val="center"/>
      </w:pPr>
      <w:r>
        <w:rPr>
          <w:color w:val="1F3B57"/>
          <w:sz w:val="28"/>
          <w:szCs w:val="28"/>
        </w:rPr>
        <w:t xml:space="preserve">Activity 1 – Requirement Analysis &amp; Design</w:t>
      </w:r>
    </w:p>
    <w:p>
      <w:pPr>
        <w:spacing w:after="1200"/>
        <w:jc w:val="center"/>
      </w:pPr>
      <w:r>
        <w:rPr>
          <w:i/>
          <w:iCs/>
          <w:color w:val="666666"/>
          <w:sz w:val="22"/>
          <w:szCs w:val="22"/>
        </w:rPr>
        <w:t xml:space="preserve">Microservices Architecture | RESTful API Design</w:t>
      </w:r>
    </w:p>
    <w:p>
      <w:pPr>
        <w:jc w:val="center"/>
      </w:pPr>
      <w:r>
        <w:rPr>
          <w:sz w:val="22"/>
          <w:szCs w:val="22"/>
        </w:rPr>
        <w:t xml:space="preserve">Prepared for: TZW LTD</w:t>
      </w:r>
    </w:p>
    <w:p>
      <w:pPr>
        <w:jc w:val="center"/>
      </w:pPr>
      <w:r>
        <w:rPr>
          <w:sz w:val="22"/>
          <w:szCs w:val="22"/>
        </w:rPr>
        <w:t xml:space="preserve">Role: Full Stack Developer</w:t>
      </w:r>
    </w:p>
    <w:p>
      <w:pPr>
        <w:spacing w:after="400"/>
        <w:jc w:val="center"/>
      </w:pPr>
      <w:r>
        <w:rPr>
          <w:sz w:val="22"/>
          <w:szCs w:val="22"/>
        </w:rPr>
        <w:t xml:space="preserve">Date: June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 and Context</w:t>
      </w:r>
    </w:p>
    <w:p>
      <w:pPr>
        <w:spacing w:after="120"/>
      </w:pPr>
      <w:r>
        <w:t xml:space="preserve">TZW LTD is a company dedicated to managing, inspecting, and maintaining fire safety equipment — particularly fire extinguishers — across large commercial and industrial facilities. Their existing Fire Extinguisher Management System is built on a monolithic architecture and is now facing several operational challenges, including missed inspection deadlines, difficulty tracking maintenance history, and compliance issues.</w:t>
      </w:r>
    </w:p>
    <w:p>
      <w:pPr>
        <w:spacing w:after="120"/>
      </w:pPr>
      <w:r>
        <w:t xml:space="preserve">To resolve these problems, TZW LTD seeks to upgrade the system to a microservices architecture based on RESTful principles. The new system must allow users to check extinguisher statuses, schedule inspections, log maintenance actions, track compliance, and generate real-time reports, while ensuring scalability, maintainability, and high availability.</w:t>
      </w:r>
    </w:p>
    <w:p>
      <w:pPr>
        <w:spacing w:after="120"/>
      </w:pPr>
      <w:r>
        <w:t xml:space="preserve">This document covers Activity 1 of the engagement: identifying and defining the required microservices and their REST API contracts, defining and designing the database model, and describing the user-registration / signup interface mockup.</w:t>
      </w:r>
    </w:p>
    <w:p>
      <w:pPr>
        <w:pStyle w:val="Heading1"/>
      </w:pPr>
      <w:r>
        <w:t xml:space="preserve">2. From Monolith to Microservices</w:t>
      </w:r>
    </w:p>
    <w:p>
      <w:pPr>
        <w:spacing w:after="120"/>
      </w:pPr>
      <w:r>
        <w:t xml:space="preserve">A monolithic system packages every concern — users, extinguishers, inspections, and reporting — into a single deployable unit that shares one database. This makes the system hard to scale selectively, risky to deploy (one change can break everything), and difficult to maintain as it grows.</w:t>
      </w:r>
    </w:p>
    <w:p>
      <w:pPr>
        <w:spacing w:after="120"/>
      </w:pPr>
      <w:r>
        <w:t xml:space="preserve">A microservices architecture decomposes the system into small, independently deployable services, each owning a single business capability and its own database. Services communicate only through well-defined REST APIs over HTTP. The chosen benefits for TZW LTD 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Scalability: the reporting service can be scaled independently during heavy reporting periods without scaling the rest of the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Maintainability: each service has a small, focused codebase that a team can understand and change in isolation.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availability &amp; fault isolation: if one service fails (for example, reporting), the others (registration, inspections) keep working.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Independent deployment: services can be released on their own schedules, reducing deployment risk.</w:t>
      </w:r>
    </w:p>
    <w:p>
      <w:pPr>
        <w:pStyle w:val="Heading1"/>
      </w:pPr>
      <w:r>
        <w:t xml:space="preserve">3. Identified Microservices</w:t>
      </w:r>
    </w:p>
    <w:p>
      <w:pPr>
        <w:spacing w:after="120"/>
      </w:pPr>
      <w:r>
        <w:t xml:space="preserve">Analysing the business requirements, the system is decomposed into four core domain services plus an API gateway that acts as the single entry point for all clients.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Owns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Service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Authentication, roles (Admin/Inspector/User), registration, JWT issuing, profile and password management.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Users, reset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Extinguisher Service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Register, list, view, update and remove extinguishers; log maintenance activities.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Extinguishers, maintenance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Inspection Service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Schedule inspections (select extinguisher, choose date/time), notify personnel, track inspection status and results.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Inspections,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Reporting Service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Aggregate data from other services to produce real-time daily / monthly / yearly reports (stock counts, inspection status).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 (read-only aggregator)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Gateway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Single public entry point; routes requests to the correct internal service and centralises cross-cutting concerns.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</w:t>
            </w:r>
          </w:p>
        </w:tc>
      </w:tr>
    </w:tbl>
    <w:p>
      <w:pPr>
        <w:spacing w:before="120"/>
      </w:pPr>
    </w:p>
    <w:p>
      <w:pPr>
        <w:spacing w:after="120"/>
      </w:pPr>
      <w:r>
        <w:t xml:space="preserve">Each domain service follows the database-per-service pattern: it owns its schema and never reaches into another service’s database. Cross-service needs (for example, the inspection service confirming an extinguisher exists, or the reporting service counting stock) are satisfied through HTTP calls to the owning service’s REST API.</w:t>
      </w:r>
    </w:p>
    <w:p>
      <w:pPr>
        <w:pStyle w:val="Heading1"/>
      </w:pPr>
      <w:r>
        <w:t xml:space="preserve">4. RESTful API Contract</w:t>
      </w:r>
    </w:p>
    <w:p>
      <w:pPr>
        <w:spacing w:after="120"/>
      </w:pPr>
      <w:r>
        <w:t xml:space="preserve">The API follows REST conventions: resources are nouns, HTTP verbs express the action, and status codes communicate the outcome. Authentication uses a JSON Web Token (JWT) supplied in the Authorization: Bearer header. The full machine-readable contract is published per service as OpenAPI/Swagger documentation at each service’s /api/docs endpoint.</w:t>
      </w:r>
    </w:p>
    <w:p>
      <w:pPr>
        <w:pStyle w:val="Heading2"/>
      </w:pPr>
      <w:r>
        <w:t xml:space="preserve">4.1 User Service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1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/api/auth/register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Register a new user (signup)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/api/auth/login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Authenticate and receive a JWT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/api/auth/logout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Revoke the current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/api/auth/forgot-password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Request a password reset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/api/auth/reset-password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Reset password using a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/api/users/me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 own 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/api/users/me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 own 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/api/users/me/password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Change 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 all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a user with any 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/api/users/{id}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 a user’s role /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</w:tr>
    </w:tbl>
    <w:p>
      <w:pPr>
        <w:pStyle w:val="Heading2"/>
      </w:pPr>
      <w:r>
        <w:t xml:space="preserve">4.2 Extinguisher Service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00"/>
        <w:gridCol w:w="26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/api/extinguishers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Register a new extinguisher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Admin, Inspector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/api/extinguishers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 all extinguishers (filterable)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/api/extinguishers/{id}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 extinguisher details by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/api/extinguishers/{id}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 extinguisher information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Admin, Inspector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/api/extinguishers/{id}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Remove an extinguisher record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/api/extinguishers/{id}/maintenance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 a maintenance 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Admin, Inspector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/api/extinguishers/{id}/maintenance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 maintenance 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Authenticated</w:t>
            </w:r>
          </w:p>
        </w:tc>
      </w:tr>
    </w:tbl>
    <w:p>
      <w:pPr>
        <w:pStyle w:val="Heading2"/>
      </w:pPr>
      <w:r>
        <w:t xml:space="preserve">4.3 Inspection Service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3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/api/inspections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Schedule an inspection and notify personnel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Admin, Inspector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/api/inspections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 inspections (filter by status/upcoming)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/api/inspections/{id}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 an inspection and its 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/api/inspections/{id}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 / complete an inspection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Admin, Inspector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/api/inspections/{id}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Cancel / delete an inspection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</w:tr>
    </w:tbl>
    <w:p>
      <w:pPr>
        <w:pStyle w:val="Heading2"/>
      </w:pPr>
      <w:r>
        <w:t xml:space="preserve">4.4 Reporting Service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31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/api/reports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Summary report across all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Admin, Inspector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/api/reports/{period}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Report for daily / monthly / yearly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Admin, Inspector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/api/reports/stream/live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Real-time report stream (SSE)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Admin, Inspector</w:t>
            </w:r>
          </w:p>
        </w:tc>
      </w:tr>
    </w:tbl>
    <w:p>
      <w:pPr>
        <w:pStyle w:val="Heading1"/>
      </w:pPr>
      <w:r>
        <w:t xml:space="preserve">5. Database Model</w:t>
      </w:r>
    </w:p>
    <w:p>
      <w:pPr>
        <w:spacing w:after="120"/>
      </w:pPr>
      <w:r>
        <w:t xml:space="preserve">Following the database-per-service principle, each service defines its own schema. The logical model below shows every table, its key columns, and the relationships within each service. Cross-service references (such as an inspection pointing at an extinguisher) are stored as plain identifiers, not foreign keys, because the data lives in a different service’s database.</w:t>
      </w:r>
    </w:p>
    <w:p>
      <w:pPr>
        <w:pStyle w:val="Heading2"/>
      </w:pPr>
      <w:r>
        <w:t xml:space="preserve">5.1 User Service –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 (UUID)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first_name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last_name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Required, unique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password_hash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bcrypt hash, never stored in plain 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 | Inspector | User (enforced by CHECK)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is_active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Soft enable/disable flag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reset_token / reset_expires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 / INTEGER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Password recovery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created_at / 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Audit timestamps</w:t>
            </w:r>
          </w:p>
        </w:tc>
      </w:tr>
    </w:tbl>
    <w:p>
      <w:pPr>
        <w:pStyle w:val="Heading2"/>
      </w:pPr>
      <w:r>
        <w:t xml:space="preserve">5.2 Extinguisher Service – extinguishers &amp; maintenance_logs</w:t>
      </w:r>
    </w:p>
    <w:p>
      <w:pPr>
        <w:spacing w:after="120"/>
      </w:pPr>
      <w:r>
        <w:t xml:space="preserve">extinguishers holds the core asset record required by the brief: Serial Number, Location, Type, Size, Installation Date, Expiry date and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 (UUID)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serial_number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Required, unique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Physical location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Water | CO2 | Foam | Dry Chemical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2.5 / 5 / 9 / 12 lbs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installation_date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 installed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expiry_date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 of expiry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 | Expired | Needs Maintenance | Decommissioned</w:t>
            </w:r>
          </w:p>
        </w:tc>
      </w:tr>
    </w:tbl>
    <w:p>
      <w:pPr>
        <w:spacing w:before="120"/>
      </w:pPr>
    </w:p>
    <w:p>
      <w:pPr>
        <w:spacing w:after="120"/>
      </w:pPr>
      <w:r>
        <w:t xml:space="preserve">maintenance_logs records each maintenance activity (Activity 3g): action taken, date of the action, relevant personnel, and conditions noted. It references extinguishers via a foreign key (same service, same database).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 (UUID)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extinguisher_id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FK → extinguishers.id (CASCADE)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action_taken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What was 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action_date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 of the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personnel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Who performed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conditions_noted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Conditions observed during maintenance</w:t>
            </w:r>
          </w:p>
        </w:tc>
      </w:tr>
    </w:tbl>
    <w:p>
      <w:pPr>
        <w:pStyle w:val="Heading2"/>
      </w:pPr>
      <w:r>
        <w:t xml:space="preserve">5.3 Inspection Service – inspections &amp; notifications</w:t>
      </w:r>
    </w:p>
    <w:p>
      <w:pPr>
        <w:spacing w:after="120"/>
      </w:pPr>
      <w:r>
        <w:t xml:space="preserve">inspections captures the scheduling requirements of Activity 3f: the selected extinguisher, the chosen date/time, the assigned personnel, and the resulting status. notifications stores the messages sent to relevant personnel when an inspection is scheduled.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 (UUID)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extinguisher_id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Identifier of the selected extinguisher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serial_number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Denormalised for convenience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scheduled_at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Chosen date and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assigned_to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Relevant personnel notified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Scheduled | Completed | Cancelled | Missed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result / notes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Outcome of the inspection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created_by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Who scheduled it</w:t>
            </w:r>
          </w:p>
        </w:tc>
      </w:tr>
    </w:tbl>
    <w:p>
      <w:pPr>
        <w:pStyle w:val="Heading2"/>
      </w:pPr>
      <w:r>
        <w:t xml:space="preserve">5.4 Reporting Service</w:t>
      </w:r>
    </w:p>
    <w:p>
      <w:pPr>
        <w:spacing w:after="120"/>
      </w:pPr>
      <w:r>
        <w:t xml:space="preserve">The reporting service owns no tables. It is a read-only aggregator that calls the extinguisher and inspection services over HTTP and composes the totals (stock count, breakdown by status/type, and inspection status) on demand, including a real-time Server-Sent Events stream.</w:t>
      </w:r>
    </w:p>
    <w:p>
      <w:pPr>
        <w:pStyle w:val="Heading1"/>
      </w:pPr>
      <w:r>
        <w:t xml:space="preserve">6. User Roles and Access Control</w:t>
      </w:r>
    </w:p>
    <w:p>
      <w:pPr>
        <w:spacing w:after="120"/>
      </w:pPr>
      <w:r>
        <w:t xml:space="preserve">Three roles are defined, each with distinct privileges enforced by role-based access control (RBAC) on every protected endpoint.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Manages overall system features, user accounts and data integrity. Full access including creating users, assigning roles and removing extinguisher records.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Inspector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Responsible for conducting inspections, logging results and scheduling maintenance. Can register and update extinguishers and log maintenance.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 view extinguisher status and schedule inspections (read-mostly). Cannot delete records or manage other users.</w:t>
            </w:r>
          </w:p>
        </w:tc>
      </w:tr>
    </w:tbl>
    <w:p>
      <w:pPr>
        <w:pStyle w:val="Heading1"/>
      </w:pPr>
      <w:r>
        <w:t xml:space="preserve">7. Security and Authentication</w:t>
      </w:r>
    </w:p>
    <w:p>
      <w:pPr>
        <w:spacing w:after="120"/>
      </w:pPr>
      <w:r>
        <w:t xml:space="preserve">Security spans the whole system and is implemented as follows: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Passwords are hashed with bcrypt and never stored or returned in plain text.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Authentication is stateless and token-based using JWT. On login the user service signs a token carrying the user id, email and role; clients send it on every subsequent request.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Authorization is role-based: each protected route declares the roles allowed to call it, and a shared middleware rejects requests from users who lack the required role (HTTP 403).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Logout revokes the active token via a server-side blocklist so it can no longer be used.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Password recovery issues a short-lived, single-use reset token rather than exposing or emailing the password.</w:t>
      </w:r>
    </w:p>
    <w:p>
      <w:pPr>
        <w:pStyle w:val="Heading1"/>
      </w:pPr>
      <w:r>
        <w:t xml:space="preserve">8. User Registration / Signup Interface</w:t>
      </w:r>
    </w:p>
    <w:p>
      <w:pPr>
        <w:spacing w:after="120"/>
      </w:pPr>
      <w:r>
        <w:t xml:space="preserve">The signup form is the primary entry point for new users and collects exactly the fields defined in the brief: First Name, Last Name, Email and Password. The intended layout (designed in Figma) is described below; a wireframe is included in the project as figma-signup-wireframe.svg.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centred card titled “Create your TZW account” on a clean, neutral background.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Stacked input fields in order: First Name, Last Name, Email, Password (masked, with a show/hide toggle and a strength hint).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Inline validation: email format and password strength (minimum 8 characters including a letter and a number) are checked before the form can be submitted.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primary “Create account” button, with a secondary “Already have an account? Sign in” link below.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success the user is registered with the default “User” role and redirected to the login screen.</w:t>
      </w:r>
    </w:p>
    <w:p>
      <w:pPr>
        <w:spacing w:after="120"/>
      </w:pPr>
      <w:r>
        <w:t xml:space="preserve">The form maps directly onto the POST /api/auth/register endpoint, and the validation rules mirror the server-side validation so users get immediate feedback while the server remains the source of truth.</w:t>
      </w:r>
    </w:p>
    <w:p>
      <w:pPr>
        <w:pStyle w:val="Heading1"/>
      </w:pPr>
      <w:r>
        <w:t xml:space="preserve">9. Summary</w:t>
      </w:r>
    </w:p>
    <w:p>
      <w:pPr>
        <w:spacing w:after="120"/>
      </w:pPr>
      <w:r>
        <w:t xml:space="preserve">The proposed design replaces TZW LTD’s monolith with four focused, independently deployable microservices behind a single API gateway, each owning its own data and exposing a documented RESTful API secured with JWT and role-based access control. The database model captures all required records for users, extinguishers, maintenance, inspections and notifications, and the reporting service delivers the real-time daily, monthly and yearly reports the business needs — together satisfying the scalability, maintainability and high-availability goals set out in the brief.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TZW LTD – FEMS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  <w:jc w:val="center"/>
    </w:pPr>
    <w:rPr>
      <w:rFonts w:ascii="Arial" w:cs="Arial" w:eastAsia="Arial" w:hAnsi="Arial"/>
      <w:b/>
      <w:bCs/>
      <w:color w:val="2E5C8A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B5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2026-06-10T20:27:18.140Z</dcterms:created>
  <dcterms:modified xsi:type="dcterms:W3CDTF">2026-06-10T20:27:18.140Z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