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FEC92" w14:textId="77777777" w:rsidR="00D12C32" w:rsidRDefault="00D12C32" w:rsidP="00D12C32">
      <w:pPr>
        <w:spacing w:before="480" w:after="80"/>
        <w:jc w:val="center"/>
      </w:pPr>
      <w:r>
        <w:rPr>
          <w:b/>
          <w:bCs/>
          <w:color w:val="1F3864"/>
          <w:sz w:val="48"/>
          <w:szCs w:val="48"/>
        </w:rPr>
        <w:t>VALCO SOE: DEEP STAKEHOLDER INTELLIGENCE REPORT</w:t>
      </w:r>
    </w:p>
    <w:p w14:paraId="76D34965" w14:textId="77777777" w:rsidR="00D12C32" w:rsidRDefault="00D12C32" w:rsidP="00D12C32">
      <w:pPr>
        <w:spacing w:after="80"/>
        <w:jc w:val="center"/>
      </w:pPr>
      <w:r>
        <w:rPr>
          <w:b/>
          <w:bCs/>
          <w:color w:val="2E75B6"/>
          <w:sz w:val="32"/>
          <w:szCs w:val="32"/>
        </w:rPr>
        <w:t>Volta Aluminum Company Limited</w:t>
      </w:r>
    </w:p>
    <w:p w14:paraId="22B395EA" w14:textId="77777777" w:rsidR="00D12C32" w:rsidRDefault="00D12C32" w:rsidP="00D12C32">
      <w:pPr>
        <w:spacing w:after="80"/>
        <w:jc w:val="center"/>
      </w:pPr>
      <w:r>
        <w:rPr>
          <w:i/>
          <w:iCs/>
          <w:color w:val="444444"/>
          <w:sz w:val="26"/>
          <w:szCs w:val="26"/>
        </w:rPr>
        <w:t>59 Years of Performance, Proposals, Financing, Logistics, and Forecast Analysis</w:t>
      </w:r>
    </w:p>
    <w:p w14:paraId="5E8AECFA" w14:textId="77777777" w:rsidR="00D12C32" w:rsidRDefault="00D12C32" w:rsidP="00D12C32">
      <w:pPr>
        <w:spacing w:after="80"/>
        <w:jc w:val="center"/>
      </w:pPr>
      <w:r>
        <w:rPr>
          <w:color w:val="666666"/>
          <w:sz w:val="22"/>
          <w:szCs w:val="22"/>
        </w:rPr>
        <w:t>Prepared by: Richard Courage Cobbinah</w:t>
      </w:r>
    </w:p>
    <w:p w14:paraId="12B20ACA" w14:textId="77777777" w:rsidR="00D12C32" w:rsidRDefault="00D12C32" w:rsidP="00D12C32">
      <w:pPr>
        <w:pBdr>
          <w:bottom w:val="single" w:sz="6" w:space="1" w:color="2E75B6"/>
        </w:pBdr>
        <w:spacing w:after="480"/>
        <w:jc w:val="center"/>
      </w:pPr>
      <w:r>
        <w:rPr>
          <w:i/>
          <w:iCs/>
          <w:color w:val="888888"/>
          <w:sz w:val="18"/>
          <w:szCs w:val="18"/>
        </w:rPr>
        <w:t xml:space="preserve">July 2026 | Data Sources: GIADEC, VALCO, MLNR Ghana, KPMG, World Bank, Discovery Alert, </w:t>
      </w:r>
      <w:proofErr w:type="spellStart"/>
      <w:r>
        <w:rPr>
          <w:i/>
          <w:iCs/>
          <w:color w:val="888888"/>
          <w:sz w:val="18"/>
          <w:szCs w:val="18"/>
        </w:rPr>
        <w:t>AlCircle</w:t>
      </w:r>
      <w:proofErr w:type="spellEnd"/>
      <w:r>
        <w:rPr>
          <w:i/>
          <w:iCs/>
          <w:color w:val="888888"/>
          <w:sz w:val="18"/>
          <w:szCs w:val="18"/>
        </w:rPr>
        <w:t xml:space="preserve">, </w:t>
      </w:r>
      <w:proofErr w:type="spellStart"/>
      <w:r>
        <w:rPr>
          <w:i/>
          <w:iCs/>
          <w:color w:val="888888"/>
          <w:sz w:val="18"/>
          <w:szCs w:val="18"/>
        </w:rPr>
        <w:t>GhanaWeb</w:t>
      </w:r>
      <w:proofErr w:type="spellEnd"/>
      <w:r>
        <w:rPr>
          <w:i/>
          <w:iCs/>
          <w:color w:val="888888"/>
          <w:sz w:val="18"/>
          <w:szCs w:val="18"/>
        </w:rPr>
        <w:t>, NRGI</w:t>
      </w:r>
    </w:p>
    <w:p w14:paraId="5354A44C" w14:textId="77777777" w:rsidR="00D12C32" w:rsidRDefault="00D12C32" w:rsidP="00D12C32">
      <w:pPr>
        <w:pStyle w:val="Heading1"/>
      </w:pPr>
      <w:r>
        <w:t>1. Executive Summary</w:t>
      </w:r>
    </w:p>
    <w:p w14:paraId="712FEB4C" w14:textId="77777777" w:rsidR="00D12C32" w:rsidRDefault="00D12C32" w:rsidP="00D12C32">
      <w:pPr>
        <w:spacing w:before="120" w:after="120"/>
      </w:pPr>
      <w:r>
        <w:t>This report provides a comprehensive, evidence-based deep analysis of the Volta Aluminum Company (VALCO), Ghana's sole aluminum smelter and the anchor of the country's Integrated Aluminum Industry (IAI) strategy. It addresses the fundamental questions that every serious stakeholder must answer before engaging with VALCO's future: Why did VALCO decline? What exactly are the proposals on the table? Where is the money coming from and where will it go? When is it realistically achievable? And what should decision makers do next?</w:t>
      </w:r>
    </w:p>
    <w:p w14:paraId="5662ADD5" w14:textId="77777777" w:rsidR="00D12C32" w:rsidRDefault="00D12C32" w:rsidP="00D12C32">
      <w:pPr>
        <w:spacing w:before="120" w:after="120"/>
      </w:pPr>
      <w:r>
        <w:t>The analysis draws on 59 years of production data (1967 to 2025), current GIADEC and government proposals, KPMG valuation findings, debt disclosures, power requirement assessments, and the latest investor selection process. It also builds a forecast model grounded in verifiable milestones, and provides professional recommendations calibrated to the constraints of Ghana's institutional, financial, and energy environment.</w:t>
      </w:r>
    </w:p>
    <w:p w14:paraId="22B39B86" w14:textId="77777777" w:rsidR="00D12C32" w:rsidRDefault="00D12C32" w:rsidP="00D12C32">
      <w:pPr>
        <w:spacing w:before="120" w:after="120"/>
      </w:pPr>
      <w:r>
        <w:t>The central finding is this: VALCO's revival is structurally possible but operationally complex, politically sensitive, and financially demanding. The USD 600 million retrofit target and the 300,000 tonne production goal are achievable within a decade, but only if four preconditions are met simultaneously: a credible strategic equity partner, a long-term power purchase agreement, domestic alumina supply, and disciplined debt restructuring. Without all four, VALCO will remain trapped in its current cycle of underperformance.</w:t>
      </w:r>
    </w:p>
    <w:p w14:paraId="5F6220AB" w14:textId="77777777" w:rsidR="00D12C32" w:rsidRDefault="00D12C32" w:rsidP="00D12C32">
      <w:pPr>
        <w:pStyle w:val="Heading1"/>
      </w:pPr>
      <w:r>
        <w:t>2. Why Did VALCO Decline? A Root Cause Analysis</w:t>
      </w:r>
    </w:p>
    <w:p w14:paraId="528C3AC7" w14:textId="77777777" w:rsidR="00D12C32" w:rsidRDefault="00D12C32" w:rsidP="00D12C32">
      <w:pPr>
        <w:pStyle w:val="Heading2"/>
      </w:pPr>
      <w:r>
        <w:t>2.1 The False Premise of Government Ownership</w:t>
      </w:r>
    </w:p>
    <w:p w14:paraId="68B7CB64" w14:textId="77777777" w:rsidR="00D12C32" w:rsidRDefault="00D12C32" w:rsidP="00D12C32">
      <w:pPr>
        <w:spacing w:before="120" w:after="120"/>
      </w:pPr>
      <w:r>
        <w:t xml:space="preserve">The most important structural insight in VALCO's history is this: the company performed best when privately owned and began declining the moment government took over. Under Kaiser Aluminum (1967 to 2004), VALCO averaged 159,278 metric tonnes per year and achieved its peak of 200,000 metric tonnes at 97% capacity utilization in 1976. </w:t>
      </w:r>
      <w:r>
        <w:lastRenderedPageBreak/>
        <w:t>From 2004 onward, under full state ownership, production has never exceeded 45,000 metric tonnes annually, a 78% reduction from peak.</w:t>
      </w:r>
    </w:p>
    <w:p w14:paraId="6E02B921" w14:textId="77777777" w:rsidR="00D12C32" w:rsidRDefault="00D12C32" w:rsidP="00D12C32">
      <w:pPr>
        <w:spacing w:before="120" w:after="120"/>
      </w:pPr>
      <w:r>
        <w:t>This is not coincidental. KPMG's audit, commissioned by GIADEC, specifically found that the transition to full government ownership in 2008 marked the beginning of accelerated decline. The GIADEC CEO confirmed this in February 2026, stating directly: 'From the time government took over full ownership and management, the company began to decline steadily.' The data confirms it. The 2021 to 2022 best-ever EBITDA positive return of USD 5.39 million represents barely 4% of what VALCO should generate at full capacity at current prices.</w:t>
      </w:r>
    </w:p>
    <w:p w14:paraId="79852637" w14:textId="77777777" w:rsidR="00D12C32" w:rsidRDefault="00D12C32" w:rsidP="00D12C32">
      <w:pPr>
        <w:pStyle w:val="Heading2"/>
      </w:pPr>
      <w:r>
        <w:t>2.2 The Power Problem: Why It Keeps Happening</w:t>
      </w:r>
    </w:p>
    <w:p w14:paraId="0417F64F" w14:textId="77777777" w:rsidR="00D12C32" w:rsidRDefault="00D12C32" w:rsidP="00D12C32">
      <w:pPr>
        <w:spacing w:before="120" w:after="120"/>
      </w:pPr>
      <w:r>
        <w:t>Every major VALCO disruption traces back to electricity. The 1985 crisis arose when President Rawlings renegotiated Kaiser's preferential power tariff, compressing margins. The 2003 shutdown happened because VALCO could not agree on an affordable power supply contract with the Volta River Authority (VRA). The 2007 to 2010 shutdown was again triggered by power access and pricing disputes. The current cap on expansion is the same constraint: 90 megawatts are required to run less than 50% of installed capacity, and full expansion to 300,000 tonnes per year would demand 2,000 to 2,200 megawatts, representing 15 to 18% of Ghana's entire installed electricity generation capacity of 15,680 megawatts.</w:t>
      </w:r>
    </w:p>
    <w:p w14:paraId="2650DE96" w14:textId="77777777" w:rsidR="00D12C32" w:rsidRDefault="00D12C32" w:rsidP="00D12C32">
      <w:pPr>
        <w:spacing w:before="120" w:after="120"/>
      </w:pPr>
      <w:r>
        <w:t>The power problem is not simply about supply. It is structural. Ghana's electricity prices are a politically sensitive issue because they affect households and businesses across the country. Dedicating 15 to 18% of national power output to a single smelter would remove almost all Akosombo's hydroelectric output from the national grid, creating electoral and social risks that every administration since 1985 has chosen to avoid. No investor will commit USD 600 million without a guaranteed, affordable, long-term power supply. And no government has yet found a way to provide that guarantee without political cost.</w:t>
      </w:r>
    </w:p>
    <w:p w14:paraId="0777E894" w14:textId="77777777" w:rsidR="00D12C32" w:rsidRDefault="00D12C32" w:rsidP="00D12C32">
      <w:pPr>
        <w:pStyle w:val="Heading2"/>
      </w:pPr>
      <w:r>
        <w:t>2.3 The Technology Trap</w:t>
      </w:r>
    </w:p>
    <w:p w14:paraId="1E221F34" w14:textId="77777777" w:rsidR="00D12C32" w:rsidRDefault="00D12C32" w:rsidP="00D12C32">
      <w:pPr>
        <w:spacing w:before="120" w:after="120"/>
      </w:pPr>
      <w:r>
        <w:t>VALCO operates the same P69 potline technology inherited from Kaiser Aluminum over 60 years ago. Modern smelters achieve electrical efficiency of 85 to 90% with power consumption of 12.5 to 13.5 kilowatt hours per kilogram of Aluminum. VALCO's legacy systems achieve 75 to 80% efficiency at significantly higher energy consumption per kilogram. This means VALCO is spending more electricity to produce less Aluminum than any competitive global smelter, making it structurally loss-making at anything below full capacity and current Aluminum prices.</w:t>
      </w:r>
    </w:p>
    <w:p w14:paraId="1E13D287" w14:textId="77777777" w:rsidR="00D12C32" w:rsidRDefault="00D12C32" w:rsidP="00D12C32">
      <w:pPr>
        <w:spacing w:before="120" w:after="120"/>
      </w:pPr>
      <w:r>
        <w:t>The KPMG valuation placed VALCO at just over USD 100 million. An internal audit valued it at USD 90 million. These figures reflect the reality: the company's most valuable asset is its land in Tema and its operating license, not its equipment. The machinery has negative replacement value because it would cost more to maintain than to retire.</w:t>
      </w:r>
    </w:p>
    <w:p w14:paraId="79804734" w14:textId="77777777" w:rsidR="00D12C32" w:rsidRDefault="00D12C32" w:rsidP="00D12C32">
      <w:pPr>
        <w:pStyle w:val="Heading2"/>
      </w:pPr>
      <w:r>
        <w:lastRenderedPageBreak/>
        <w:t>2.4 The Alumina Import Dependency</w:t>
      </w:r>
    </w:p>
    <w:p w14:paraId="49387EA4" w14:textId="77777777" w:rsidR="00D12C32" w:rsidRDefault="00D12C32" w:rsidP="00D12C32">
      <w:pPr>
        <w:spacing w:before="120" w:after="120"/>
      </w:pPr>
      <w:r>
        <w:t>For 59 years, VALCO has imported 100% of its alumina feedstock from Australian, Brazilian, and Caribbean refineries. Delivered cost is USD 350 to 400 per tonne. Ghana has 920 million metric tonnes of bauxite reserves at Awaso, Kyebi, and Nyinahin. Not one tonne has ever been refined commercially in Ghana. The country exports raw bauxite, imports processed alumina at a premium, and then loses the margin twice. GIADEC acquired six new bauxite mining licenses in June 2025, but no refinery exists and none is under construction.</w:t>
      </w:r>
    </w:p>
    <w:p w14:paraId="175F3106" w14:textId="77777777" w:rsidR="00D12C32" w:rsidRDefault="00D12C32" w:rsidP="00D12C32">
      <w:pPr>
        <w:pStyle w:val="Heading2"/>
      </w:pPr>
      <w:r>
        <w:t>2.5 The Debt Accumulation</w:t>
      </w:r>
    </w:p>
    <w:p w14:paraId="39E865AF" w14:textId="77777777" w:rsidR="00D12C32" w:rsidRDefault="00D12C32" w:rsidP="00D12C32">
      <w:pPr>
        <w:spacing w:before="120" w:after="120"/>
      </w:pPr>
      <w:r>
        <w:t xml:space="preserve">By January 2025, VALCO's accumulated debts had reached USD 450 million, owed to three primary creditors: </w:t>
      </w:r>
      <w:proofErr w:type="spellStart"/>
      <w:r>
        <w:t>GRIDCo</w:t>
      </w:r>
      <w:proofErr w:type="spellEnd"/>
      <w:r>
        <w:t xml:space="preserve"> (electricity), the Ghana Revenue Authority (taxes), and the Tema Development Corporation (land and infrastructure). This debt load exceeds four times VALCO's KPMG-assessed market value of USD 100 million. It means any strategic investor acquiring equity in VALCO is inheriting a debt-to-equity ratio of roughly 4.5:1 before spending a single dollar on retrofitting. This is the single biggest deterrent to serious investor engagement and the fact GIADEC's January 2026 statement conspicuously omitted from its public communications.</w:t>
      </w:r>
    </w:p>
    <w:p w14:paraId="2391AE63" w14:textId="77777777" w:rsidR="00D12C32" w:rsidRDefault="00D12C32" w:rsidP="00D12C32">
      <w:pPr>
        <w:pStyle w:val="Heading1"/>
      </w:pPr>
      <w:r>
        <w:t>3. What Is On the Table? The Current Proposals</w:t>
      </w:r>
    </w:p>
    <w:p w14:paraId="26DBCE34" w14:textId="77777777" w:rsidR="00D12C32" w:rsidRDefault="00D12C32" w:rsidP="00D12C32">
      <w:pPr>
        <w:pStyle w:val="Heading2"/>
      </w:pPr>
      <w:r>
        <w:t>3.1 The Strategic Equity Partnership Model</w:t>
      </w:r>
    </w:p>
    <w:p w14:paraId="59826A3F" w14:textId="77777777" w:rsidR="00D12C32" w:rsidRDefault="00D12C32" w:rsidP="00D12C32">
      <w:pPr>
        <w:spacing w:before="120" w:after="120"/>
      </w:pPr>
      <w:r>
        <w:t xml:space="preserve">In May 2022, Cabinet approved a plan to seek a strategic equity investor for VALCO. In June 2022, GIADEC and VALCO were formally mandated to go to market. KPMG was commissioned to conduct the audit and propose options. KPMG identified five options and recommended equity investment as the most practical route. In November 2025, a 12-person cross-sectoral investor selection committee was inaugurated by the Minister for Lands and Natural Resources, Hon. Emmanuel Armah-Kofi </w:t>
      </w:r>
      <w:proofErr w:type="spellStart"/>
      <w:r>
        <w:t>Buah</w:t>
      </w:r>
      <w:proofErr w:type="spellEnd"/>
      <w:r>
        <w:t>. In January 2026, the committee submitted its options analysis report and confirmed that a strategic investor had been shortlisted.</w:t>
      </w:r>
    </w:p>
    <w:p w14:paraId="7B32C60E" w14:textId="77777777" w:rsidR="00D12C32" w:rsidRDefault="00D12C32" w:rsidP="00D12C32">
      <w:pPr>
        <w:spacing w:before="120" w:after="120"/>
      </w:pPr>
      <w:r>
        <w:t>The structure is a partial equity ceding arrangement: the Government of Ghana, through GIADEC, retains a significant ownership stake. The strategic investor acquires an agreed equity percentage in exchange for USD 600 million in capital investment and technical expertise. GIADEC has confirmed that GIADEC together with a Ghanaian private partner will hold not less than 30% in any new IAI venture. The shortlisted investor's identity has not been publicly disclosed as of July 2026.</w:t>
      </w:r>
    </w:p>
    <w:p w14:paraId="65E4F8C0" w14:textId="77777777" w:rsidR="00D12C32" w:rsidRDefault="00D12C32" w:rsidP="00D12C32">
      <w:pPr>
        <w:pStyle w:val="Heading2"/>
      </w:pPr>
      <w:r>
        <w:t>3.2 The USD 600 Million Retrofit: What It Covers</w:t>
      </w:r>
    </w:p>
    <w:p w14:paraId="1C27CCB9" w14:textId="77777777" w:rsidR="00D12C32" w:rsidRDefault="00D12C32" w:rsidP="00D12C32">
      <w:pPr>
        <w:spacing w:before="120" w:after="120"/>
      </w:pPr>
      <w:r>
        <w:t>The USD 600 million retrofitting budget, assessed jointly by GIADEC and VALCO, covers the following scope:</w:t>
      </w:r>
    </w:p>
    <w:p w14:paraId="3DE5890F" w14:textId="77777777" w:rsidR="00D12C32" w:rsidRDefault="00D12C32" w:rsidP="00D12C32">
      <w:pPr>
        <w:pStyle w:val="ListParagraph"/>
        <w:numPr>
          <w:ilvl w:val="0"/>
          <w:numId w:val="1"/>
        </w:numPr>
        <w:contextualSpacing w:val="0"/>
      </w:pPr>
      <w:r>
        <w:t>Replacement of all five P69 potlines with modern, energy-efficient smelting technology.</w:t>
      </w:r>
    </w:p>
    <w:p w14:paraId="29C7D29A" w14:textId="77777777" w:rsidR="00D12C32" w:rsidRDefault="00D12C32" w:rsidP="00D12C32">
      <w:pPr>
        <w:pStyle w:val="ListParagraph"/>
        <w:numPr>
          <w:ilvl w:val="0"/>
          <w:numId w:val="1"/>
        </w:numPr>
        <w:contextualSpacing w:val="0"/>
      </w:pPr>
      <w:r>
        <w:lastRenderedPageBreak/>
        <w:t>Associated plant and equipment upgrades across the entire smelter.</w:t>
      </w:r>
    </w:p>
    <w:p w14:paraId="71E722BA" w14:textId="77777777" w:rsidR="00D12C32" w:rsidRDefault="00D12C32" w:rsidP="00D12C32">
      <w:pPr>
        <w:pStyle w:val="ListParagraph"/>
        <w:numPr>
          <w:ilvl w:val="0"/>
          <w:numId w:val="1"/>
        </w:numPr>
        <w:contextualSpacing w:val="0"/>
      </w:pPr>
      <w:r>
        <w:t>Infrastructure works to support expanded production capacity.</w:t>
      </w:r>
    </w:p>
    <w:p w14:paraId="4B2C3008" w14:textId="77777777" w:rsidR="00D12C32" w:rsidRDefault="00D12C32" w:rsidP="00D12C32">
      <w:pPr>
        <w:pStyle w:val="ListParagraph"/>
        <w:numPr>
          <w:ilvl w:val="0"/>
          <w:numId w:val="1"/>
        </w:numPr>
        <w:contextualSpacing w:val="0"/>
      </w:pPr>
      <w:r>
        <w:t>A two-phase implementation structure designed to keep production running during the retrofit, avoiding the total shutdown risk.</w:t>
      </w:r>
    </w:p>
    <w:p w14:paraId="793B837C" w14:textId="77777777" w:rsidR="00D12C32" w:rsidRDefault="00D12C32" w:rsidP="00D12C32">
      <w:pPr>
        <w:spacing w:before="120" w:after="120"/>
      </w:pPr>
      <w:r>
        <w:t>The retrofitting target is to increase production from the current 40,000 to 45,000 metric tonnes per year to 300,000 metric tonnes per year, a 650% increase. The Minister for Lands and Natural Resources set a specific milestone in January 2026: production must reach at least 200,000 tonnes by end of 2028, from a 2026 starting point of approximately 40,000 to 45,000 tonnes.</w:t>
      </w:r>
    </w:p>
    <w:p w14:paraId="7B30316A" w14:textId="2FCBE5C7" w:rsidR="00D12C32" w:rsidRDefault="00D12C32" w:rsidP="00D12C32">
      <w:pPr>
        <w:spacing w:before="120" w:after="120"/>
      </w:pPr>
      <w:r>
        <w:t xml:space="preserve">Beyond VALCO's USD 600 million, the total IAI </w:t>
      </w:r>
      <w:r>
        <w:t>program</w:t>
      </w:r>
      <w:r>
        <w:t xml:space="preserve"> requires USD 2.3 billion. This covers the VALCO retrofit (USD 600 million), the alumina refinery (approximately USD 720 million after a July 2026 NRGI infrastructure study), and associated logistics, power, rail, and port infrastructure to link the bauxite mines in Kyebi and Nyinahin to the refinery and smelter in Tema.</w:t>
      </w:r>
    </w:p>
    <w:p w14:paraId="02E4BC01" w14:textId="77777777" w:rsidR="00D12C32" w:rsidRDefault="00D12C32" w:rsidP="00D12C32">
      <w:pPr>
        <w:pStyle w:val="Heading2"/>
      </w:pPr>
      <w:r>
        <w:t>3.3 The Alumina Refinery: The Missing Link</w:t>
      </w:r>
    </w:p>
    <w:p w14:paraId="1C0D15A8" w14:textId="77777777" w:rsidR="00D12C32" w:rsidRDefault="00D12C32" w:rsidP="00D12C32">
      <w:pPr>
        <w:spacing w:before="120" w:after="120"/>
      </w:pPr>
      <w:r>
        <w:t>The proposed alumina refinery is the critical upstream enabler without which VALCO's expansion is permanently constrained by import dependency. The refinery specifications are:</w:t>
      </w:r>
    </w:p>
    <w:p w14:paraId="3D0496B7" w14:textId="77777777" w:rsidR="00D12C32" w:rsidRDefault="00D12C32" w:rsidP="00D12C32">
      <w:pPr>
        <w:pStyle w:val="ListParagraph"/>
        <w:numPr>
          <w:ilvl w:val="0"/>
          <w:numId w:val="1"/>
        </w:numPr>
        <w:contextualSpacing w:val="0"/>
      </w:pPr>
      <w:r>
        <w:t>Processing capacity: 5 million tonnes of locally-mined bauxite per year.</w:t>
      </w:r>
    </w:p>
    <w:p w14:paraId="7416BC4D" w14:textId="77777777" w:rsidR="00D12C32" w:rsidRDefault="00D12C32" w:rsidP="00D12C32">
      <w:pPr>
        <w:pStyle w:val="ListParagraph"/>
        <w:numPr>
          <w:ilvl w:val="0"/>
          <w:numId w:val="1"/>
        </w:numPr>
        <w:contextualSpacing w:val="0"/>
      </w:pPr>
      <w:r>
        <w:t>Output: 1.6 million tonnes of alumina per year using standard Bayer process technology.</w:t>
      </w:r>
    </w:p>
    <w:p w14:paraId="2742BD4D" w14:textId="77777777" w:rsidR="00D12C32" w:rsidRDefault="00D12C32" w:rsidP="00D12C32">
      <w:pPr>
        <w:pStyle w:val="ListParagraph"/>
        <w:numPr>
          <w:ilvl w:val="0"/>
          <w:numId w:val="1"/>
        </w:numPr>
        <w:contextualSpacing w:val="0"/>
      </w:pPr>
      <w:r>
        <w:t>Conversion ratio: 1.8 to 1 bauxite-to-alumina, in line with industry benchmarks for high-grade ore.</w:t>
      </w:r>
    </w:p>
    <w:p w14:paraId="4664F908" w14:textId="77777777" w:rsidR="00D12C32" w:rsidRDefault="00D12C32" w:rsidP="00D12C32">
      <w:pPr>
        <w:pStyle w:val="ListParagraph"/>
        <w:numPr>
          <w:ilvl w:val="0"/>
          <w:numId w:val="1"/>
        </w:numPr>
        <w:contextualSpacing w:val="0"/>
      </w:pPr>
      <w:r>
        <w:t>Operating temperature: 150 degrees Celsius with caustic soda solution.</w:t>
      </w:r>
    </w:p>
    <w:p w14:paraId="2AB27B61" w14:textId="77777777" w:rsidR="00D12C32" w:rsidRDefault="00D12C32" w:rsidP="00D12C32">
      <w:pPr>
        <w:pStyle w:val="ListParagraph"/>
        <w:numPr>
          <w:ilvl w:val="0"/>
          <w:numId w:val="1"/>
        </w:numPr>
        <w:contextualSpacing w:val="0"/>
      </w:pPr>
      <w:r>
        <w:t>Energy consumption: 1.5 to 2.0 megawatt hours of thermal energy per tonne of alumina produced.</w:t>
      </w:r>
    </w:p>
    <w:p w14:paraId="1C33F90E" w14:textId="7D71A047" w:rsidR="00D12C32" w:rsidRDefault="00D12C32" w:rsidP="00D12C32">
      <w:pPr>
        <w:pStyle w:val="ListParagraph"/>
        <w:numPr>
          <w:ilvl w:val="0"/>
          <w:numId w:val="1"/>
        </w:numPr>
        <w:contextualSpacing w:val="0"/>
      </w:pPr>
      <w:r>
        <w:t xml:space="preserve">Red mud byproduct: 1.5 to 2.0 tonnes per tonne of alumina, generating 2.4 to 3.2 million tonnes annually requiring managed disposal or </w:t>
      </w:r>
      <w:r>
        <w:t>utilization</w:t>
      </w:r>
      <w:r>
        <w:t>.</w:t>
      </w:r>
    </w:p>
    <w:p w14:paraId="10E64623" w14:textId="77777777" w:rsidR="00D12C32" w:rsidRDefault="00D12C32" w:rsidP="00D12C32">
      <w:pPr>
        <w:pStyle w:val="ListParagraph"/>
        <w:numPr>
          <w:ilvl w:val="0"/>
          <w:numId w:val="1"/>
        </w:numPr>
        <w:contextualSpacing w:val="0"/>
      </w:pPr>
      <w:r>
        <w:t>Estimated cost savings versus imported alumina: USD 48 to 192 million annually depending on output volume and global price movements.</w:t>
      </w:r>
    </w:p>
    <w:p w14:paraId="6D1D5B18" w14:textId="77777777" w:rsidR="00D12C32" w:rsidRDefault="00D12C32" w:rsidP="00D12C32">
      <w:pPr>
        <w:spacing w:before="120" w:after="120"/>
      </w:pPr>
      <w:r>
        <w:t>The NRGI baseline scenario projects losses of approximately USD 691 million across the life of the refinery under current conditions. However, NRGI identified four levers that flip the project to profitability: bundling the refinery with a bauxite mine from inception (stronger economics than standalone refinery), securing a stable power supply at industrial rates, implementing a government revenue support framework, and establishing a long-term offtake agreement with VALCO. With all four levers in place, NRGI projects a profit of approximately USD 74 million per year.</w:t>
      </w:r>
    </w:p>
    <w:p w14:paraId="1A3C9245" w14:textId="77777777" w:rsidR="00D12C32" w:rsidRDefault="00D12C32" w:rsidP="00D12C32">
      <w:pPr>
        <w:pStyle w:val="Heading2"/>
      </w:pPr>
      <w:r>
        <w:t>3.4 The Five Evaluation Pillars</w:t>
      </w:r>
    </w:p>
    <w:p w14:paraId="20C41FEF" w14:textId="77777777" w:rsidR="00D12C32" w:rsidRDefault="00D12C32" w:rsidP="00D12C32">
      <w:pPr>
        <w:spacing w:before="120" w:after="120"/>
      </w:pPr>
      <w:r>
        <w:t>The investor selection committee evaluated all proposals against five criteria:</w:t>
      </w:r>
    </w:p>
    <w:p w14:paraId="1F09D683" w14:textId="77777777" w:rsidR="00D12C32" w:rsidRDefault="00D12C32" w:rsidP="00D12C32">
      <w:pPr>
        <w:pStyle w:val="ListParagraph"/>
        <w:numPr>
          <w:ilvl w:val="0"/>
          <w:numId w:val="1"/>
        </w:numPr>
        <w:contextualSpacing w:val="0"/>
      </w:pPr>
      <w:r>
        <w:t>Financial capacity: Can the investor fund USD 600 million without requiring the Ghanaian government to provide guarantees?</w:t>
      </w:r>
    </w:p>
    <w:p w14:paraId="57772C64" w14:textId="77777777" w:rsidR="00D12C32" w:rsidRDefault="00D12C32" w:rsidP="00D12C32">
      <w:pPr>
        <w:pStyle w:val="ListParagraph"/>
        <w:numPr>
          <w:ilvl w:val="0"/>
          <w:numId w:val="1"/>
        </w:numPr>
        <w:contextualSpacing w:val="0"/>
      </w:pPr>
      <w:r>
        <w:lastRenderedPageBreak/>
        <w:t>Technical competence: Does the investor have proven smelter operation and retrofit experience?</w:t>
      </w:r>
    </w:p>
    <w:p w14:paraId="11EED923" w14:textId="77777777" w:rsidR="00D12C32" w:rsidRDefault="00D12C32" w:rsidP="00D12C32">
      <w:pPr>
        <w:pStyle w:val="ListParagraph"/>
        <w:numPr>
          <w:ilvl w:val="0"/>
          <w:numId w:val="1"/>
        </w:numPr>
        <w:contextualSpacing w:val="0"/>
      </w:pPr>
      <w:r>
        <w:t>Sustainable power solutions: Can the investor bring or secure dedicated power supply for expanded operations?</w:t>
      </w:r>
    </w:p>
    <w:p w14:paraId="130CE145" w14:textId="77777777" w:rsidR="00D12C32" w:rsidRDefault="00D12C32" w:rsidP="00D12C32">
      <w:pPr>
        <w:pStyle w:val="ListParagraph"/>
        <w:numPr>
          <w:ilvl w:val="0"/>
          <w:numId w:val="1"/>
        </w:numPr>
        <w:contextualSpacing w:val="0"/>
      </w:pPr>
      <w:r>
        <w:t>Environmental and social stewardship: Does the investor meet international ESG standards, including the EU's Carbon Border Adjustment Mechanism requirements now applying from January 2026?</w:t>
      </w:r>
    </w:p>
    <w:p w14:paraId="702AC777" w14:textId="77777777" w:rsidR="00D12C32" w:rsidRDefault="00D12C32" w:rsidP="00D12C32">
      <w:pPr>
        <w:pStyle w:val="ListParagraph"/>
        <w:numPr>
          <w:ilvl w:val="0"/>
          <w:numId w:val="1"/>
        </w:numPr>
        <w:contextualSpacing w:val="0"/>
      </w:pPr>
      <w:r>
        <w:t>Governance and shareholder protection: Does the proposed structure protect the government's ownership stake and Ghana's strategic interests?</w:t>
      </w:r>
    </w:p>
    <w:p w14:paraId="3433114C" w14:textId="77777777" w:rsidR="00D12C32" w:rsidRDefault="00D12C32" w:rsidP="00D12C32">
      <w:pPr>
        <w:pStyle w:val="Heading1"/>
      </w:pPr>
      <w:r>
        <w:t>4. Where: Logistics, Infrastructure, and Supply Chain Requirements</w:t>
      </w:r>
    </w:p>
    <w:p w14:paraId="262B6E32" w14:textId="77777777" w:rsidR="00D12C32" w:rsidRDefault="00D12C32" w:rsidP="00D12C32">
      <w:pPr>
        <w:pStyle w:val="Heading2"/>
      </w:pPr>
      <w:r>
        <w:t>4.1 Power Infrastructure</w:t>
      </w:r>
    </w:p>
    <w:p w14:paraId="6B2F48FB" w14:textId="36D26F17" w:rsidR="00D12C32" w:rsidRDefault="00D12C32" w:rsidP="00D12C32">
      <w:pPr>
        <w:spacing w:before="120" w:after="120"/>
      </w:pPr>
      <w:r>
        <w:t xml:space="preserve">Current state: VALCO currently consumes approximately 90 megawatts to operate less than 50% of installed capacity. At full 200,000 tonne capacity, power demand rises to approximately 400 to 500 megawatts. At the proposed 300,000 tonne target, demand reaches 2,000 to 2,200 megawatts. This is the most constraining logistical requirement in the entire IAI </w:t>
      </w:r>
      <w:r>
        <w:t>program</w:t>
      </w:r>
      <w:r>
        <w:t>.</w:t>
      </w:r>
    </w:p>
    <w:p w14:paraId="100FB6B4" w14:textId="77777777" w:rsidR="00D12C32" w:rsidRDefault="00D12C32" w:rsidP="00D12C32">
      <w:pPr>
        <w:spacing w:before="120" w:after="120"/>
      </w:pPr>
      <w:r>
        <w:t>Ghana's current total installed electricity generation capacity is 15,680 megawatts. Dedicating 2,000 to 2,200 megawatts to VALCO alone removes a significant share of national generation from the grid. The solution requires new dedicated power generation, not grid reallocation. Options include:</w:t>
      </w:r>
    </w:p>
    <w:p w14:paraId="45E0D20F" w14:textId="77777777" w:rsidR="00D12C32" w:rsidRDefault="00D12C32" w:rsidP="00D12C32">
      <w:pPr>
        <w:pStyle w:val="ListParagraph"/>
        <w:numPr>
          <w:ilvl w:val="0"/>
          <w:numId w:val="1"/>
        </w:numPr>
        <w:contextualSpacing w:val="0"/>
      </w:pPr>
      <w:r>
        <w:t>Dedicated natural gas power plant: Ghana's National Energy Transition Framework names gas as the primary transition fuel. A dedicated gas-to-power facility for VALCO is technically feasible, but gas-powered Aluminum attracts EU Carbon Border Adjustment Mechanism levies from 2026 onward, potentially disadvantaging VALCO's European export market access.</w:t>
      </w:r>
    </w:p>
    <w:p w14:paraId="5CE76BE7" w14:textId="77777777" w:rsidR="00D12C32" w:rsidRDefault="00D12C32" w:rsidP="00D12C32">
      <w:pPr>
        <w:pStyle w:val="ListParagraph"/>
        <w:numPr>
          <w:ilvl w:val="0"/>
          <w:numId w:val="1"/>
        </w:numPr>
        <w:contextualSpacing w:val="0"/>
      </w:pPr>
      <w:r>
        <w:t>Renewable energy hybrid: Solar and wind generation combined with battery storage. Produces green Aluminum that commands a premium price in European and Asian markets. Higher upfront capital cost but superior long-term export positioning.</w:t>
      </w:r>
    </w:p>
    <w:p w14:paraId="352370AF" w14:textId="77777777" w:rsidR="00D12C32" w:rsidRDefault="00D12C32" w:rsidP="00D12C32">
      <w:pPr>
        <w:pStyle w:val="ListParagraph"/>
        <w:numPr>
          <w:ilvl w:val="0"/>
          <w:numId w:val="1"/>
        </w:numPr>
        <w:contextualSpacing w:val="0"/>
      </w:pPr>
      <w:r>
        <w:t>Regional power import: West African Power Pool (WAPP) integration allows power import from Cote d'Ivoire, Nigeria, or other regional sources. Introduces geopolitical dependency but diversifies supply risk.</w:t>
      </w:r>
    </w:p>
    <w:p w14:paraId="2BA6B567" w14:textId="77777777" w:rsidR="00D12C32" w:rsidRDefault="00D12C32" w:rsidP="00D12C32">
      <w:pPr>
        <w:pStyle w:val="ListParagraph"/>
        <w:numPr>
          <w:ilvl w:val="0"/>
          <w:numId w:val="1"/>
        </w:numPr>
        <w:contextualSpacing w:val="0"/>
      </w:pPr>
      <w:r>
        <w:t>Dedicated hydroelectric expansion: A new hydroelectric facility on the Pra or Black Volta rivers. Long development timeline of 8 to 12 years but provides stable, low-cost, green power aligned with EU requirements.</w:t>
      </w:r>
    </w:p>
    <w:p w14:paraId="358A035D" w14:textId="77777777" w:rsidR="00D12C32" w:rsidRDefault="00D12C32" w:rsidP="00D12C32">
      <w:pPr>
        <w:pStyle w:val="Heading2"/>
      </w:pPr>
      <w:r>
        <w:t>4.2 Raw Material Logistics: Bauxite to Refinery to Smelter</w:t>
      </w:r>
    </w:p>
    <w:p w14:paraId="0AAFE38D" w14:textId="77777777" w:rsidR="00D12C32" w:rsidRDefault="00D12C32" w:rsidP="00D12C32">
      <w:pPr>
        <w:spacing w:before="120" w:after="120"/>
      </w:pPr>
      <w:r>
        <w:t xml:space="preserve">Ghana's bauxite deposits are located at three sites: Awaso in the Western Region, Kyebi in the Eastern Region, and Nyinahin in the Ashanti Region. The VALCO smelter is in Tema, Greater Accra. The proposed alumina refinery location has not been publicly </w:t>
      </w:r>
      <w:r>
        <w:lastRenderedPageBreak/>
        <w:t>confirmed but is expected to be near Kyebi or Nyinahin to minimize transport distance from mine to refinery.</w:t>
      </w:r>
    </w:p>
    <w:p w14:paraId="18B946C1" w14:textId="77777777" w:rsidR="00D12C32" w:rsidRDefault="00D12C32" w:rsidP="00D12C32">
      <w:pPr>
        <w:spacing w:before="120" w:after="120"/>
      </w:pPr>
      <w:r>
        <w:t>The logistics chain requires:</w:t>
      </w:r>
    </w:p>
    <w:p w14:paraId="16DC2C3D" w14:textId="0F6C2144" w:rsidR="00D12C32" w:rsidRDefault="00D12C32" w:rsidP="00D12C32">
      <w:pPr>
        <w:pStyle w:val="ListParagraph"/>
        <w:numPr>
          <w:ilvl w:val="0"/>
          <w:numId w:val="1"/>
        </w:numPr>
        <w:contextualSpacing w:val="0"/>
      </w:pPr>
      <w:r>
        <w:t xml:space="preserve">Bauxite mine to refinery: Road or rail transport of 5 million tonnes per year of raw bauxite from mining sites to the refinery. At current road conditions, this requires significant road infrastructure investment or a dedicated rail spur. Rail is the preferred option for volumes of this scale but requires an estimated USD 500 to 800 million in rail infrastructure development, part of the broader USD 2.3 billion IAI </w:t>
      </w:r>
      <w:r>
        <w:t>program</w:t>
      </w:r>
      <w:r>
        <w:t>.</w:t>
      </w:r>
    </w:p>
    <w:p w14:paraId="1799D6A3" w14:textId="77777777" w:rsidR="00D12C32" w:rsidRDefault="00D12C32" w:rsidP="00D12C32">
      <w:pPr>
        <w:pStyle w:val="ListParagraph"/>
        <w:numPr>
          <w:ilvl w:val="0"/>
          <w:numId w:val="1"/>
        </w:numPr>
        <w:contextualSpacing w:val="0"/>
      </w:pPr>
      <w:r>
        <w:t>Refinery to smelter: 1.6 million tonnes of alumina per year from the refinery to VALCO in Tema. Road or rail transport over approximately 100 to 200 kilometers depending on refinery location. This segment is more manageable in volume than the bauxite transport but still requires dedicated logistics corridors.</w:t>
      </w:r>
    </w:p>
    <w:p w14:paraId="03CBE0B8" w14:textId="1086A429" w:rsidR="00D12C32" w:rsidRDefault="00D12C32" w:rsidP="00D12C32">
      <w:pPr>
        <w:pStyle w:val="ListParagraph"/>
        <w:numPr>
          <w:ilvl w:val="0"/>
          <w:numId w:val="1"/>
        </w:numPr>
        <w:contextualSpacing w:val="0"/>
      </w:pPr>
      <w:r>
        <w:t xml:space="preserve">Smelter to port: VALCO's location in Tema gives it direct access to Tema Port, Ghana's main export gateway. This is VALCO's single strongest logistics advantage. Value-added products like conductor rods can be </w:t>
      </w:r>
      <w:r>
        <w:t>containerized</w:t>
      </w:r>
      <w:r>
        <w:t xml:space="preserve"> and shipped directly from Tema Port to European and Asian buyers without additional </w:t>
      </w:r>
      <w:r>
        <w:t>transshipment</w:t>
      </w:r>
      <w:r>
        <w:t>.</w:t>
      </w:r>
    </w:p>
    <w:p w14:paraId="3F789A7B" w14:textId="0543DD4B" w:rsidR="00D12C32" w:rsidRDefault="00D12C32" w:rsidP="00D12C32">
      <w:pPr>
        <w:pStyle w:val="ListParagraph"/>
        <w:numPr>
          <w:ilvl w:val="0"/>
          <w:numId w:val="1"/>
        </w:numPr>
        <w:contextualSpacing w:val="0"/>
      </w:pPr>
      <w:r>
        <w:t xml:space="preserve">Red mud disposal: The alumina refinery will generate 2.4 to 3.2 million tonnes of red mud annually. Ghana has no established red mud management infrastructure. This requires dedicated storage, treatment, or </w:t>
      </w:r>
      <w:r>
        <w:t>utilization</w:t>
      </w:r>
      <w:r>
        <w:t xml:space="preserve"> infrastructure as a condition of environmental compliance.</w:t>
      </w:r>
    </w:p>
    <w:p w14:paraId="10CB3DE6" w14:textId="77777777" w:rsidR="00D12C32" w:rsidRDefault="00D12C32" w:rsidP="00D12C32">
      <w:pPr>
        <w:pStyle w:val="Heading2"/>
      </w:pPr>
      <w:r>
        <w:t>4.3 Workforce and Human Capital Logistics</w:t>
      </w:r>
    </w:p>
    <w:p w14:paraId="60125288" w14:textId="77777777" w:rsidR="00D12C32" w:rsidRDefault="00D12C32" w:rsidP="00D12C32">
      <w:pPr>
        <w:spacing w:before="120" w:after="120"/>
      </w:pPr>
      <w:r>
        <w:t>VALCO currently employs 750 to 800 workers. At 200,000 tonnes per year output, the workforce requirement rises to an estimated 2,000 to 3,000 direct employees. At 300,000 tonnes with downstream manufacturing, the minister estimates 6,000 direct jobs minimum, with indirect and induced employment across the value chain reaching tens of thousands.</w:t>
      </w:r>
    </w:p>
    <w:p w14:paraId="39F50B2A" w14:textId="77777777" w:rsidR="00D12C32" w:rsidRDefault="00D12C32" w:rsidP="00D12C32">
      <w:pPr>
        <w:spacing w:before="120" w:after="120"/>
      </w:pPr>
      <w:r>
        <w:t>The workforce expansion challenge is not simply numbers. VALCO has lost most of its institutional knowledge base. The GIADEC CEO noted that staff strength was over 12,000 when the company was fully operational under Kaiser. Rebuilding technical competence in Aluminum smelting requires:</w:t>
      </w:r>
    </w:p>
    <w:p w14:paraId="08BA2958" w14:textId="77777777" w:rsidR="00D12C32" w:rsidRDefault="00D12C32" w:rsidP="00D12C32">
      <w:pPr>
        <w:pStyle w:val="ListParagraph"/>
        <w:numPr>
          <w:ilvl w:val="0"/>
          <w:numId w:val="1"/>
        </w:numPr>
        <w:contextualSpacing w:val="0"/>
      </w:pPr>
      <w:r>
        <w:t>Specialist smelting engineers: Scarce globally and expensive to recruit. The strategic investor will likely bring expatriate technical staff for the retrofit phase.</w:t>
      </w:r>
    </w:p>
    <w:p w14:paraId="68D0DBB3" w14:textId="6AACEEC8" w:rsidR="00D12C32" w:rsidRDefault="00D12C32" w:rsidP="00D12C32">
      <w:pPr>
        <w:pStyle w:val="ListParagraph"/>
        <w:numPr>
          <w:ilvl w:val="0"/>
          <w:numId w:val="1"/>
        </w:numPr>
        <w:contextualSpacing w:val="0"/>
      </w:pPr>
      <w:r>
        <w:t xml:space="preserve">Technician training pipeline: Ghana's technical and vocational education system is not currently producing smelter-grade technicians at scale. A dedicated training </w:t>
      </w:r>
      <w:r>
        <w:t>program</w:t>
      </w:r>
      <w:r>
        <w:t xml:space="preserve"> is needed alongside the retrofit.</w:t>
      </w:r>
    </w:p>
    <w:p w14:paraId="2F894DDA" w14:textId="77777777" w:rsidR="00D12C32" w:rsidRDefault="00D12C32" w:rsidP="00D12C32">
      <w:pPr>
        <w:pStyle w:val="ListParagraph"/>
        <w:numPr>
          <w:ilvl w:val="0"/>
          <w:numId w:val="1"/>
        </w:numPr>
        <w:contextualSpacing w:val="0"/>
      </w:pPr>
      <w:r>
        <w:t>Knowledge transfer requirement: The equity agreement must mandate explicit knowledge transfer from the strategic investor's technical team to Ghanaian staff on a defined timeline.</w:t>
      </w:r>
    </w:p>
    <w:p w14:paraId="417C6648" w14:textId="77777777" w:rsidR="00D12C32" w:rsidRDefault="00D12C32" w:rsidP="00D12C32">
      <w:pPr>
        <w:pStyle w:val="Heading1"/>
      </w:pPr>
      <w:r>
        <w:lastRenderedPageBreak/>
        <w:t>5. When: Forecast Analysis and Achievability Assessment</w:t>
      </w:r>
    </w:p>
    <w:p w14:paraId="5C6CB9F0" w14:textId="77777777" w:rsidR="00D12C32" w:rsidRDefault="00D12C32" w:rsidP="00D12C32">
      <w:pPr>
        <w:pStyle w:val="Heading2"/>
      </w:pPr>
      <w:r>
        <w:t>5.1 The Official Timeline and Its Assumptions</w:t>
      </w:r>
    </w:p>
    <w:p w14:paraId="52260799" w14:textId="77777777" w:rsidR="00D12C32" w:rsidRDefault="00D12C32" w:rsidP="00D12C32">
      <w:pPr>
        <w:spacing w:before="120" w:after="120"/>
      </w:pPr>
      <w:r>
        <w:t>The Minister for Lands and Natural Resources set this specific milestone in January 2026: begin work immediately in 2026 and reach at least 200,000 tonnes per year by end of 2028. This implies a 36-month transformation from 40,000 to 200,000 tonnes, a 400% production increase, while simultaneously retrofitting all five potlines without halting operations.</w:t>
      </w:r>
    </w:p>
    <w:p w14:paraId="17FE6980" w14:textId="77777777" w:rsidR="00D12C32" w:rsidRDefault="00D12C32" w:rsidP="00D12C32">
      <w:pPr>
        <w:spacing w:before="120" w:after="120"/>
      </w:pPr>
      <w:r>
        <w:t>For this timeline to be achievable, the following must occur in 2026 alone:</w:t>
      </w:r>
    </w:p>
    <w:p w14:paraId="16222314" w14:textId="77777777" w:rsidR="00D12C32" w:rsidRDefault="00D12C32" w:rsidP="00D12C32">
      <w:pPr>
        <w:pStyle w:val="ListParagraph"/>
        <w:numPr>
          <w:ilvl w:val="0"/>
          <w:numId w:val="1"/>
        </w:numPr>
        <w:contextualSpacing w:val="0"/>
      </w:pPr>
      <w:r>
        <w:t>Strategic investor agreement signed and capital committed.</w:t>
      </w:r>
    </w:p>
    <w:p w14:paraId="36A865FF" w14:textId="77777777" w:rsidR="00D12C32" w:rsidRDefault="00D12C32" w:rsidP="00D12C32">
      <w:pPr>
        <w:pStyle w:val="ListParagraph"/>
        <w:numPr>
          <w:ilvl w:val="0"/>
          <w:numId w:val="1"/>
        </w:numPr>
        <w:contextualSpacing w:val="0"/>
      </w:pPr>
      <w:r>
        <w:t>Power purchase agreement concluded with VRA or dedicated power developer.</w:t>
      </w:r>
    </w:p>
    <w:p w14:paraId="755DB629" w14:textId="77777777" w:rsidR="00D12C32" w:rsidRDefault="00D12C32" w:rsidP="00D12C32">
      <w:pPr>
        <w:pStyle w:val="ListParagraph"/>
        <w:numPr>
          <w:ilvl w:val="0"/>
          <w:numId w:val="1"/>
        </w:numPr>
        <w:contextualSpacing w:val="0"/>
      </w:pPr>
      <w:r>
        <w:t>VALCO's USD 450 million debt restructured or deferred to avoid immediate creditor claims on capital inflows.</w:t>
      </w:r>
    </w:p>
    <w:p w14:paraId="27222A86" w14:textId="77777777" w:rsidR="00D12C32" w:rsidRDefault="00D12C32" w:rsidP="00D12C32">
      <w:pPr>
        <w:pStyle w:val="ListParagraph"/>
        <w:numPr>
          <w:ilvl w:val="0"/>
          <w:numId w:val="1"/>
        </w:numPr>
        <w:contextualSpacing w:val="0"/>
      </w:pPr>
      <w:r>
        <w:t>Phase 1 retrofit engineering design and procurement initiated.</w:t>
      </w:r>
    </w:p>
    <w:p w14:paraId="64C6123F" w14:textId="77777777" w:rsidR="00D12C32" w:rsidRDefault="00D12C32" w:rsidP="00D12C32">
      <w:pPr>
        <w:pStyle w:val="ListParagraph"/>
        <w:numPr>
          <w:ilvl w:val="0"/>
          <w:numId w:val="1"/>
        </w:numPr>
        <w:contextualSpacing w:val="0"/>
      </w:pPr>
      <w:r>
        <w:t>Environmental and social impact assessments completed and approved.</w:t>
      </w:r>
    </w:p>
    <w:p w14:paraId="1DB6E43D" w14:textId="57B83AE1" w:rsidR="00D12C32" w:rsidRDefault="00D12C32" w:rsidP="00D12C32">
      <w:pPr>
        <w:pStyle w:val="ListParagraph"/>
        <w:numPr>
          <w:ilvl w:val="0"/>
          <w:numId w:val="1"/>
        </w:numPr>
        <w:contextualSpacing w:val="0"/>
      </w:pPr>
      <w:r>
        <w:t xml:space="preserve">Workforce expansion and training </w:t>
      </w:r>
      <w:r>
        <w:t>program</w:t>
      </w:r>
      <w:r>
        <w:t xml:space="preserve"> launched.</w:t>
      </w:r>
    </w:p>
    <w:p w14:paraId="0C5EBA7A" w14:textId="77777777" w:rsidR="00D12C32" w:rsidRDefault="00D12C32" w:rsidP="00D12C32">
      <w:pPr>
        <w:pStyle w:val="Heading2"/>
      </w:pPr>
      <w:r>
        <w:t>5.2 Achievability Assessment by Milestone</w:t>
      </w:r>
    </w:p>
    <w:p w14:paraId="29248448" w14:textId="77777777" w:rsidR="00D12C32" w:rsidRDefault="00D12C32" w:rsidP="00D12C32">
      <w:pPr>
        <w:pStyle w:val="Heading3"/>
      </w:pPr>
      <w:r>
        <w:t>Milestone 1: Strategic Investor Agreement (Target: 2026)</w:t>
      </w:r>
    </w:p>
    <w:p w14:paraId="78F38D34" w14:textId="77777777" w:rsidR="00D12C32" w:rsidRDefault="00D12C32" w:rsidP="00D12C32">
      <w:pPr>
        <w:spacing w:before="120" w:after="120"/>
      </w:pPr>
      <w:r>
        <w:t>Achievability: Moderate. The investor has been shortlisted as of January 2026, and the committee has submitted its report. The critical risk is the debt disclosure gap: GIADEC's public January 2026 statement omitted any mention of the USD 450 million debt load, the equity valuation, or the percentage stake being offered. Investors who conduct due diligence will discover these details regardless. If the gap between GIADEC's public position and the actual deal terms is not bridged transparently, negotiations will stall. Historical precedent supports this risk: investors expressed interest in 2023 but no agreements were reached because investors demanded staffing control rights the government refused to grant.</w:t>
      </w:r>
    </w:p>
    <w:p w14:paraId="327CF5EF" w14:textId="77777777" w:rsidR="00D12C32" w:rsidRDefault="00D12C32" w:rsidP="00D12C32">
      <w:pPr>
        <w:spacing w:before="120" w:after="120"/>
      </w:pPr>
      <w:r>
        <w:t>Probability of 2026 completion: 55%. More likely 2027 given due diligence timelines and debt restructuring complexity.</w:t>
      </w:r>
    </w:p>
    <w:p w14:paraId="7EF396FB" w14:textId="77777777" w:rsidR="00D12C32" w:rsidRDefault="00D12C32" w:rsidP="00D12C32">
      <w:pPr>
        <w:pStyle w:val="Heading3"/>
      </w:pPr>
      <w:r>
        <w:t>Milestone 2: Power Purchase Agreement (Target: 2026)</w:t>
      </w:r>
    </w:p>
    <w:p w14:paraId="61F40E1F" w14:textId="77777777" w:rsidR="00D12C32" w:rsidRDefault="00D12C32" w:rsidP="00D12C32">
      <w:pPr>
        <w:spacing w:before="120" w:after="120"/>
      </w:pPr>
      <w:r>
        <w:t>Achievability: Low to Moderate. Every previous administration has failed to resolve VALCO's power supply on commercially viable terms. The green energy transition adds a new layer: the EU's Carbon Border Adjustment Mechanism applies from January 2026, meaning any gas-powered expansion risks a carbon levy on exports to Europe, VALCO's target market. The investor will demand a green power solution that the government may not be able to deliver within 12 months given the infrastructure development timelines involved.</w:t>
      </w:r>
    </w:p>
    <w:p w14:paraId="6ACEADAD" w14:textId="77777777" w:rsidR="00D12C32" w:rsidRDefault="00D12C32" w:rsidP="00D12C32">
      <w:pPr>
        <w:spacing w:before="120" w:after="120"/>
      </w:pPr>
      <w:r>
        <w:t>Probability of 2026 completion: 35%. A framework agreement is possible in 2026, but a binding, fully-specified power purchase agreement for 2,000+ megawatts is a 2027 to 2028 outcome at best.</w:t>
      </w:r>
    </w:p>
    <w:p w14:paraId="15E9ADB4" w14:textId="77777777" w:rsidR="00D12C32" w:rsidRDefault="00D12C32" w:rsidP="00D12C32">
      <w:pPr>
        <w:pStyle w:val="Heading3"/>
      </w:pPr>
      <w:r>
        <w:lastRenderedPageBreak/>
        <w:t>Milestone 3: 200,000 Tonnes by End of 2028 (Target: December 2028)</w:t>
      </w:r>
    </w:p>
    <w:p w14:paraId="40B97C93" w14:textId="77777777" w:rsidR="00D12C32" w:rsidRDefault="00D12C32" w:rsidP="00D12C32">
      <w:pPr>
        <w:spacing w:before="120" w:after="120"/>
      </w:pPr>
      <w:r>
        <w:t>Achievability: Low. The retrofitting of five P69 potlines is a major industrial engineering project. Global benchmarks for comparable Aluminum smelter retrofits suggest a realistic timeline of 4 to 6 years from financial close to full operation. VALCO's additional complexity of maintaining current production during the retrofit extends this. A realistic scenario is: Phase 1 retrofit completion (2 to 3 potlines) by late 2028 delivering approximately 120,000 to 150,000 tonnes per year. Phase 2 completion delivering 200,000 to 300,000 tonnes per year by 2030 to 2031.</w:t>
      </w:r>
    </w:p>
    <w:p w14:paraId="26ECF75C" w14:textId="77777777" w:rsidR="00D12C32" w:rsidRDefault="00D12C32" w:rsidP="00D12C32">
      <w:pPr>
        <w:spacing w:before="120" w:after="120"/>
      </w:pPr>
      <w:r>
        <w:t>Probability of 200,000 tonnes by end 2028: 20%. The more achievable milestone is 120,000 to 150,000 tonnes by 2029.</w:t>
      </w:r>
    </w:p>
    <w:p w14:paraId="6BDA43BC" w14:textId="77777777" w:rsidR="00D12C32" w:rsidRDefault="00D12C32" w:rsidP="00D12C32">
      <w:pPr>
        <w:pStyle w:val="Heading3"/>
      </w:pPr>
      <w:r>
        <w:t>Milestone 4: 300,000 Tonnes Full Capacity (Target: Unspecified, GIADEC Master Plan)</w:t>
      </w:r>
    </w:p>
    <w:p w14:paraId="2F656FCB" w14:textId="77777777" w:rsidR="00D12C32" w:rsidRDefault="00D12C32" w:rsidP="00D12C32">
      <w:pPr>
        <w:spacing w:before="120" w:after="120"/>
      </w:pPr>
      <w:r>
        <w:t>Achievability: Conditional. Full 300,000 tonne output requires not just the smelter retrofit but dedicated power supply at industrial scale, domestic alumina from the proposed refinery, and full downstream integration. The alumina refinery alone has a construction timeline of 5 to 7 years from ground-breaking. The refinery cannot break ground until its own financing is secured, which requires a separate investor or the same strategic investor covering both assets.</w:t>
      </w:r>
    </w:p>
    <w:p w14:paraId="617E992F" w14:textId="77777777" w:rsidR="00D12C32" w:rsidRDefault="00D12C32" w:rsidP="00D12C32">
      <w:pPr>
        <w:spacing w:before="120" w:after="120"/>
      </w:pPr>
      <w:r>
        <w:t>Realistic timeline for 300,000 tonne production: 2032 to 2035, contingent on all four preconditions being met.</w:t>
      </w:r>
    </w:p>
    <w:p w14:paraId="50C78321" w14:textId="77777777" w:rsidR="00D12C32" w:rsidRDefault="00D12C32" w:rsidP="00D12C32">
      <w:pPr>
        <w:spacing w:before="120" w:after="120"/>
      </w:pPr>
      <w:r>
        <w:t>Probability: 40% by 2035 given Ghana's historical execution track record on major industrial projects.</w:t>
      </w:r>
    </w:p>
    <w:p w14:paraId="10FE67C7" w14:textId="77777777" w:rsidR="00D12C32" w:rsidRDefault="00D12C32" w:rsidP="00D12C32">
      <w:pPr>
        <w:pStyle w:val="Heading2"/>
      </w:pPr>
      <w:r>
        <w:t>5.3 Financial Forecast</w:t>
      </w:r>
    </w:p>
    <w:p w14:paraId="0ADFE828" w14:textId="77777777" w:rsidR="00D12C32" w:rsidRDefault="00D12C32" w:rsidP="00D12C32">
      <w:pPr>
        <w:spacing w:before="120" w:after="120"/>
      </w:pPr>
      <w:r>
        <w:t>Based on current data and the retrofit timeline, here is a realistic revenue forecast:</w:t>
      </w:r>
    </w:p>
    <w:p w14:paraId="4AD9F61C" w14:textId="77777777" w:rsidR="00D12C32" w:rsidRDefault="00D12C32" w:rsidP="00D12C32">
      <w:pPr>
        <w:pStyle w:val="ListParagraph"/>
        <w:numPr>
          <w:ilvl w:val="0"/>
          <w:numId w:val="1"/>
        </w:numPr>
        <w:contextualSpacing w:val="0"/>
      </w:pPr>
      <w:r>
        <w:t>2026: USD 120 to 130 million (current trajectory, 45,000 tonnes at USD 2,550 to 2,900 per tonne with value-added conductor rod contribution if certification is achieved).</w:t>
      </w:r>
    </w:p>
    <w:p w14:paraId="26C37720" w14:textId="77777777" w:rsidR="00D12C32" w:rsidRDefault="00D12C32" w:rsidP="00D12C32">
      <w:pPr>
        <w:pStyle w:val="ListParagraph"/>
        <w:numPr>
          <w:ilvl w:val="0"/>
          <w:numId w:val="1"/>
        </w:numPr>
        <w:contextualSpacing w:val="0"/>
      </w:pPr>
      <w:r>
        <w:t>2027 to 2028: USD 140 to 200 million (Phase 1 retrofit begins, production maintained or slightly increased, revenue growth driven by value-added products and price).</w:t>
      </w:r>
    </w:p>
    <w:p w14:paraId="33BDD021" w14:textId="77777777" w:rsidR="00D12C32" w:rsidRDefault="00D12C32" w:rsidP="00D12C32">
      <w:pPr>
        <w:pStyle w:val="ListParagraph"/>
        <w:numPr>
          <w:ilvl w:val="0"/>
          <w:numId w:val="1"/>
        </w:numPr>
        <w:contextualSpacing w:val="0"/>
      </w:pPr>
      <w:r>
        <w:t>2029 to 2030: USD 300 to 450 million (Phase 1 complete, 120,000 to 150,000 tonnes, value-added manufacturing scaling).</w:t>
      </w:r>
    </w:p>
    <w:p w14:paraId="13E66319" w14:textId="77777777" w:rsidR="00D12C32" w:rsidRDefault="00D12C32" w:rsidP="00D12C32">
      <w:pPr>
        <w:pStyle w:val="ListParagraph"/>
        <w:numPr>
          <w:ilvl w:val="0"/>
          <w:numId w:val="1"/>
        </w:numPr>
        <w:contextualSpacing w:val="0"/>
      </w:pPr>
      <w:r>
        <w:t>2031 to 2035: USD 600 million to 1 billion plus (Phase 2 complete, 200,000 to 300,000 tonnes, domestic alumina supply reducing input costs, value-added products commanding premium prices).</w:t>
      </w:r>
    </w:p>
    <w:p w14:paraId="08747926" w14:textId="77777777" w:rsidR="00D12C32" w:rsidRDefault="00D12C32" w:rsidP="00D12C32">
      <w:pPr>
        <w:spacing w:before="120" w:after="120"/>
      </w:pPr>
      <w:r>
        <w:t>Lost revenue if no action is taken: At USD 395 million annual capacity gap at current prices, Ghana loses approximately USD 3.9 billion in the next 10 years if VALCO remains at 20% capacity. This is the cost of inaction.</w:t>
      </w:r>
    </w:p>
    <w:p w14:paraId="775849B8" w14:textId="77777777" w:rsidR="00D12C32" w:rsidRDefault="00D12C32" w:rsidP="00D12C32">
      <w:pPr>
        <w:pStyle w:val="Heading1"/>
      </w:pPr>
      <w:r>
        <w:lastRenderedPageBreak/>
        <w:t>6. The Green Aluminum Constraint: A New and Underestimated Risk</w:t>
      </w:r>
    </w:p>
    <w:p w14:paraId="11110A6A" w14:textId="77777777" w:rsidR="00D12C32" w:rsidRDefault="00D12C32" w:rsidP="00D12C32">
      <w:pPr>
        <w:spacing w:before="120" w:after="120"/>
      </w:pPr>
      <w:r>
        <w:t>The EU's Carbon Border Adjustment Mechanism (CBAM) has been introduced on a trial basis and began levying charges from January 2026. Aluminum is one of the targeted sectors. This means any Aluminum exported from VALCO to European buyers must declare its embedded carbon emissions. If those emissions exceed EU benchmarks, buyers must purchase CBAM certificates to offset them.</w:t>
      </w:r>
    </w:p>
    <w:p w14:paraId="55C92DA4" w14:textId="77777777" w:rsidR="00D12C32" w:rsidRDefault="00D12C32" w:rsidP="00D12C32">
      <w:pPr>
        <w:spacing w:before="120" w:after="120"/>
      </w:pPr>
      <w:r>
        <w:t>This creates a fundamental strategic tension for VALCO's expansion plan. Ghana's National Energy Transition Framework names natural gas as the primary transition fuel. A gas-powered retrofit of VALCO produces Aluminum with a higher carbon footprint than hydro-powered or solar-powered alternatives. European buyers, who represent one of VALCO's target markets for value-added products including conductor rods, will either pay a carbon premium or redirect purchases to lower-carbon suppliers.</w:t>
      </w:r>
    </w:p>
    <w:p w14:paraId="21E8E211" w14:textId="77777777" w:rsidR="00D12C32" w:rsidRDefault="00D12C32" w:rsidP="00D12C32">
      <w:pPr>
        <w:spacing w:before="120" w:after="120"/>
      </w:pPr>
      <w:r>
        <w:t>Guinea, VALCO's primary African competitor, is investing in alumina refineries but has historically focused on raw material exports. The window in which Ghana can establish itself as a green Aluminum producer is open but not permanent. If Ghana chooses a gas-powered expansion and Guinea or another African producer secures green power first, VALCO's European market access advantage disappears.</w:t>
      </w:r>
    </w:p>
    <w:p w14:paraId="7E3578D1" w14:textId="77777777" w:rsidR="00D12C32" w:rsidRDefault="00D12C32" w:rsidP="00D12C32">
      <w:pPr>
        <w:spacing w:before="120" w:after="120"/>
      </w:pPr>
      <w:r>
        <w:t>The investor selection committee's evaluation criteria explicitly included sustainable power solutions and environmental stewardship. This is not bureaucratic language. It reflects the direct commercial consequence of CBAM: a green power solution is not optional for European market access. It is a market entry requirement.</w:t>
      </w:r>
    </w:p>
    <w:p w14:paraId="6468F78A" w14:textId="32BBACDD" w:rsidR="00D12C32" w:rsidRDefault="00D12C32" w:rsidP="00D12C32">
      <w:pPr>
        <w:pStyle w:val="Heading1"/>
      </w:pPr>
      <w:r>
        <w:t>7. Recommendations</w:t>
      </w:r>
    </w:p>
    <w:p w14:paraId="29ED4EAA" w14:textId="77777777" w:rsidR="00D12C32" w:rsidRDefault="00D12C32" w:rsidP="00D12C32">
      <w:pPr>
        <w:pStyle w:val="Heading2"/>
      </w:pPr>
      <w:r>
        <w:t>7.1 Resolve the Debt Before the Equity Deal</w:t>
      </w:r>
    </w:p>
    <w:p w14:paraId="0FEF87F5" w14:textId="77777777" w:rsidR="00D12C32" w:rsidRDefault="00D12C32" w:rsidP="00D12C32">
      <w:pPr>
        <w:spacing w:before="120" w:after="120"/>
      </w:pPr>
      <w:r>
        <w:t xml:space="preserve">The USD 450 million debt owed to </w:t>
      </w:r>
      <w:proofErr w:type="spellStart"/>
      <w:r>
        <w:t>GRIDCo</w:t>
      </w:r>
      <w:proofErr w:type="spellEnd"/>
      <w:r>
        <w:t>, GRA, and TDC is the elephant in the room that GIADEC's public communications have avoided. No credible strategic investor will inject USD 600 million into an entity carrying a debt load 4.5 times its assessed market value without a clear debt resolution framework. The government must negotiate a structured debt settlement or deferral with all three creditors before the investor agreement is signed. Options include:</w:t>
      </w:r>
    </w:p>
    <w:p w14:paraId="733F7E52" w14:textId="77777777" w:rsidR="00D12C32" w:rsidRDefault="00D12C32" w:rsidP="00D12C32">
      <w:pPr>
        <w:pStyle w:val="ListParagraph"/>
        <w:numPr>
          <w:ilvl w:val="0"/>
          <w:numId w:val="1"/>
        </w:numPr>
        <w:contextualSpacing w:val="0"/>
      </w:pPr>
      <w:r>
        <w:t xml:space="preserve">Debt-to-equity conversion with </w:t>
      </w:r>
      <w:proofErr w:type="spellStart"/>
      <w:r>
        <w:t>GRIDCo</w:t>
      </w:r>
      <w:proofErr w:type="spellEnd"/>
      <w:r>
        <w:t xml:space="preserve"> and TDC, giving them a small equity stake in the restructured VALCO in exchange for writing off accumulated arrears.</w:t>
      </w:r>
    </w:p>
    <w:p w14:paraId="65DDF218" w14:textId="77777777" w:rsidR="00D12C32" w:rsidRDefault="00D12C32" w:rsidP="00D12C32">
      <w:pPr>
        <w:pStyle w:val="ListParagraph"/>
        <w:numPr>
          <w:ilvl w:val="0"/>
          <w:numId w:val="1"/>
        </w:numPr>
        <w:contextualSpacing w:val="0"/>
      </w:pPr>
      <w:r>
        <w:t>Long-term payment plan with GRA, given that the tax arrears are sovereign-to-sovereign and more flexible than commercial debt.</w:t>
      </w:r>
    </w:p>
    <w:p w14:paraId="0E9D688D" w14:textId="77777777" w:rsidR="00D12C32" w:rsidRDefault="00D12C32" w:rsidP="00D12C32">
      <w:pPr>
        <w:pStyle w:val="ListParagraph"/>
        <w:numPr>
          <w:ilvl w:val="0"/>
          <w:numId w:val="1"/>
        </w:numPr>
        <w:contextualSpacing w:val="0"/>
      </w:pPr>
      <w:r>
        <w:t>Government assumption of the debt burden as part of its equity contribution, reducing the strategic investor's liability but increasing the government's sunk cost.</w:t>
      </w:r>
    </w:p>
    <w:p w14:paraId="47C096EE" w14:textId="77777777" w:rsidR="00D12C32" w:rsidRDefault="00D12C32" w:rsidP="00D12C32">
      <w:pPr>
        <w:spacing w:before="120" w:after="120"/>
      </w:pPr>
      <w:r>
        <w:lastRenderedPageBreak/>
        <w:t>Failure to resolve this before closing the investor deal will either kill the deal or result in the investor demanding a controlling stake that the government has publicly said it will not accept.</w:t>
      </w:r>
    </w:p>
    <w:p w14:paraId="426AFAA8" w14:textId="00985261" w:rsidR="00D12C32" w:rsidRDefault="00D12C32" w:rsidP="00D12C32">
      <w:pPr>
        <w:pStyle w:val="Heading2"/>
      </w:pPr>
      <w:r>
        <w:t xml:space="preserve">7.2 </w:t>
      </w:r>
      <w:r>
        <w:t>Prioritize</w:t>
      </w:r>
      <w:r>
        <w:t xml:space="preserve"> Green Power Above All Else</w:t>
      </w:r>
    </w:p>
    <w:p w14:paraId="1D1EE2D7" w14:textId="77777777" w:rsidR="00D12C32" w:rsidRDefault="00D12C32" w:rsidP="00D12C32">
      <w:pPr>
        <w:spacing w:before="120" w:after="120"/>
      </w:pPr>
      <w:r>
        <w:t>The power supply solution determines everything: the investor's willingness to commit, VALCO's production cost per tonne, the viability of European exports, and the long-term sustainability of the business. The government must commission a dedicated green power feasibility study specifically for VALCO's expansion, covering solar, wind, hydroelectric, and regional power pool options, with costs, timelines, and CBAM compliance assessments for each. This study should be completed before the investor agreement is signed, not after, because the power solution must be part of the deal structure, not an afterthought.</w:t>
      </w:r>
    </w:p>
    <w:p w14:paraId="44F1037C" w14:textId="77777777" w:rsidR="00D12C32" w:rsidRDefault="00D12C32" w:rsidP="00D12C32">
      <w:pPr>
        <w:pStyle w:val="Heading2"/>
      </w:pPr>
      <w:r>
        <w:t>7.3 Publish the Deal Terms Transparently</w:t>
      </w:r>
    </w:p>
    <w:p w14:paraId="6D1F7A6B" w14:textId="77777777" w:rsidR="00D12C32" w:rsidRDefault="00D12C32" w:rsidP="00D12C32">
      <w:pPr>
        <w:spacing w:before="120" w:after="120"/>
      </w:pPr>
      <w:r>
        <w:t>GIADEC's January 2026 statement contained notable omissions: no equity percentage offered to the strategic investor, no VALCO valuation figure, no debt position disclosure, no investor identity. These gaps are feeding exactly the public speculation and worker opposition that GIADEC claims to be fighting. Transparency is not just good governance. It is a commercial imperative. Investors considering this deal are reading Ghanaian media. Inconsistency between public statements and deal reality destroys investor confidence.</w:t>
      </w:r>
    </w:p>
    <w:p w14:paraId="6BA85AEC" w14:textId="77777777" w:rsidR="00D12C32" w:rsidRDefault="00D12C32" w:rsidP="00D12C32">
      <w:pPr>
        <w:spacing w:before="120" w:after="120"/>
      </w:pPr>
      <w:r>
        <w:t>Publish a clear, factual prospectus covering VALCO's current financial position including the USD 450 million debt, the KPMG valuation, the proposed equity structure, the power solution plan, and the retrofit timeline. This document will not scare away serious investors. It will filter out opportunists and attract those with the technical and financial capacity to actually deliver.</w:t>
      </w:r>
    </w:p>
    <w:p w14:paraId="34B4F9E9" w14:textId="77777777" w:rsidR="00D12C32" w:rsidRDefault="00D12C32" w:rsidP="00D12C32">
      <w:pPr>
        <w:pStyle w:val="Heading2"/>
      </w:pPr>
      <w:r>
        <w:t>7.4 Mandate Knowledge Transfer in the Investor Agreement</w:t>
      </w:r>
    </w:p>
    <w:p w14:paraId="1DE421F5" w14:textId="4D8B7892" w:rsidR="00D12C32" w:rsidRDefault="00D12C32" w:rsidP="00D12C32">
      <w:pPr>
        <w:spacing w:before="120" w:after="120"/>
      </w:pPr>
      <w:r>
        <w:t xml:space="preserve">The strategic investor agreement must include explicit, enforceable knowledge transfer provisions. Define specific milestones: at what point in the retrofit must Ghanaian engineers be certified to operate the new potline technology? What percentage of the expanded workforce must be Ghanaian nationals within 3 years, 5 years, 10 years? What training </w:t>
      </w:r>
      <w:r>
        <w:t>program</w:t>
      </w:r>
      <w:r>
        <w:t xml:space="preserve">s must the investor fund? Without these provisions in the contract, Ghana risks a situation where a foreign investor </w:t>
      </w:r>
      <w:r>
        <w:t>modernizes</w:t>
      </w:r>
      <w:r>
        <w:t xml:space="preserve"> VALCO's technology but retains all operational expertise, creating a permanent dependency that undermines the sovereign purpose of the partnership.</w:t>
      </w:r>
    </w:p>
    <w:p w14:paraId="53F78453" w14:textId="77777777" w:rsidR="00D12C32" w:rsidRDefault="00D12C32" w:rsidP="00D12C32">
      <w:pPr>
        <w:pStyle w:val="Heading2"/>
      </w:pPr>
      <w:r>
        <w:t>7.5 Treat the Conductor Rod Line as the Immediate Revenue Priority</w:t>
      </w:r>
    </w:p>
    <w:p w14:paraId="599C5990" w14:textId="77777777" w:rsidR="00D12C32" w:rsidRDefault="00D12C32" w:rsidP="00D12C32">
      <w:pPr>
        <w:spacing w:before="120" w:after="120"/>
      </w:pPr>
      <w:r>
        <w:t xml:space="preserve">The August 2025 conductor rod production line is VALCO's best near-term commercial opportunity. It requires no additional capital, no new power supply, and no new workforce beyond current capacity. It triples revenue per tonne if European certification is achieved. The government and GIADEC should treat this certification process as a board-level priority with dedicated project management, a specific timeline, named </w:t>
      </w:r>
      <w:r>
        <w:lastRenderedPageBreak/>
        <w:t>accountable officials, and a budget for testing and submission costs. This is a low-risk, high-return action that can generate momentum and investor confidence before the USD 600 million retrofit is even financed.</w:t>
      </w:r>
    </w:p>
    <w:p w14:paraId="5E24DB5A" w14:textId="77777777" w:rsidR="00D12C32" w:rsidRDefault="00D12C32" w:rsidP="00D12C32">
      <w:pPr>
        <w:pStyle w:val="Heading2"/>
      </w:pPr>
      <w:r>
        <w:t>7.6 Decouple the Refinery Timeline from the Smelter Retrofit</w:t>
      </w:r>
    </w:p>
    <w:p w14:paraId="46FFF711" w14:textId="77777777" w:rsidR="00D12C32" w:rsidRDefault="00D12C32" w:rsidP="00D12C32">
      <w:pPr>
        <w:spacing w:before="120" w:after="120"/>
      </w:pPr>
      <w:r>
        <w:t>The alumina refinery and the VALCO smelter retrofit are interdependent in the long run but independent in the short run. VALCO has survived on imported alumina for 59 years. It will continue to do so during the retrofit period. Attempting to build the refinery and retrofit the smelter simultaneously, under the same investor and the same financing package, adds complexity and risk that could delay both. The more executable strategy is to retrofit VALCO first using the USD 600 million equity investment, stabilise operations at 200,000 tonnes, generate revenue that partially funds the refinery, and then develop the refinery as a second-phase project with a separate financing structure. This sequencing reduces execution risk while maintaining the long-term IAI vision.</w:t>
      </w:r>
    </w:p>
    <w:p w14:paraId="64B62C2D" w14:textId="77777777" w:rsidR="00D12C32" w:rsidRDefault="00D12C32" w:rsidP="00D12C32">
      <w:pPr>
        <w:pStyle w:val="Heading2"/>
      </w:pPr>
      <w:r>
        <w:t>7.7 Address the Atewa Forest Risk Proactively</w:t>
      </w:r>
    </w:p>
    <w:p w14:paraId="3BC9B4DB" w14:textId="60E8A2D3" w:rsidR="00D12C32" w:rsidRDefault="00D12C32" w:rsidP="00D12C32">
      <w:pPr>
        <w:spacing w:before="120" w:after="120"/>
      </w:pPr>
      <w:r>
        <w:t xml:space="preserve">Ghana's bauxite mining plans face significant environmental opposition from national and international civil society </w:t>
      </w:r>
      <w:r>
        <w:t>organizations</w:t>
      </w:r>
      <w:r>
        <w:t xml:space="preserve"> over proposed mining in the Atewa Forest Reserve, one of Ghana's most ecologically sensitive areas. This opposition has already delayed previous bauxite development timelines and will continue to do so. GIADEC should explicitly exclude Atewa from the bauxite supply plan for the refinery and demonstrate that sufficient reserves at Kyebi and Nyinahin can supply 5 million tonnes per year without accessing the forest reserve. Proactive environmental positioning is also a CBAM compliance requirement and a precondition for European market access.</w:t>
      </w:r>
    </w:p>
    <w:p w14:paraId="442C0EB9" w14:textId="77777777" w:rsidR="00D12C32" w:rsidRDefault="00D12C32" w:rsidP="00D12C32">
      <w:pPr>
        <w:pStyle w:val="Heading1"/>
      </w:pPr>
      <w:r>
        <w:t>8. Conclusion: The Window Is Closing</w:t>
      </w:r>
    </w:p>
    <w:p w14:paraId="693DAEE3" w14:textId="77777777" w:rsidR="00D12C32" w:rsidRDefault="00D12C32" w:rsidP="00D12C32">
      <w:pPr>
        <w:spacing w:before="120" w:after="120"/>
      </w:pPr>
      <w:r>
        <w:t>Ghana has been pursuing an Integrated Aluminum Industry since 1967. It is now 2026. The bauxite is still in the ground. The refinery has never been built. VALCO runs at 22% of capacity with USD 450 million in debt and 60-year-old equipment. The window of opportunity that Aluminum's global price environment and green transition are creating is real, but it will not stay open indefinitely. Guinea is investing in refineries. The UAE and Middle East producers are building green smelting capacity. The EU's CBAM is already in effect.</w:t>
      </w:r>
    </w:p>
    <w:p w14:paraId="7E6B38F1" w14:textId="77777777" w:rsidR="00D12C32" w:rsidRDefault="00D12C32" w:rsidP="00D12C32">
      <w:pPr>
        <w:spacing w:before="120" w:after="120"/>
      </w:pPr>
      <w:r>
        <w:t>Ghana's advantage is specific and time-limited: high-grade bauxite reserves, a functioning smelter with Atlantic coast port access, a government with political will under President Mahama's reset agenda, and a global Aluminum market hungry for green-certified supply. The investor selection committee has done its work. The proposals are on the table. The 12-person committee has submitted its report.</w:t>
      </w:r>
    </w:p>
    <w:p w14:paraId="727466C4" w14:textId="77777777" w:rsidR="00D12C32" w:rsidRDefault="00D12C32" w:rsidP="00D12C32">
      <w:pPr>
        <w:spacing w:before="120" w:after="120"/>
      </w:pPr>
      <w:r>
        <w:t>What happens next depends entirely on execution speed, debt transparency, power solution credibility, and the quality of the equity agreement. Get these four things right in 2026, and VALCO reaches 200,000 tonnes by 2030. Get them wrong, and Ghana enters another decade of the same cycle: declining output, accumulating debt, and missed industrial opportunity.</w:t>
      </w:r>
    </w:p>
    <w:p w14:paraId="769758B9" w14:textId="77777777" w:rsidR="00D12C32" w:rsidRDefault="00D12C32" w:rsidP="00D12C32">
      <w:pPr>
        <w:spacing w:before="120" w:after="120"/>
      </w:pPr>
      <w:r>
        <w:lastRenderedPageBreak/>
        <w:t>The data in this report and the accompanying Kaggle notebook provide every stakeholder with the evidence base needed to act. The question is no longer analytical. It is political, commercial, and logistical. The analysis is done. The decisions must now be made.</w:t>
      </w:r>
    </w:p>
    <w:p w14:paraId="2733A439" w14:textId="77777777" w:rsidR="00D12C32" w:rsidRDefault="00D12C32" w:rsidP="00D12C32">
      <w:pPr>
        <w:pStyle w:val="Heading1"/>
      </w:pPr>
      <w:r>
        <w:t>References</w:t>
      </w:r>
    </w:p>
    <w:p w14:paraId="032FF1A8" w14:textId="77777777" w:rsidR="00D12C32" w:rsidRDefault="00D12C32" w:rsidP="00D12C32">
      <w:pPr>
        <w:pStyle w:val="ListParagraph"/>
        <w:numPr>
          <w:ilvl w:val="0"/>
          <w:numId w:val="1"/>
        </w:numPr>
        <w:contextualSpacing w:val="0"/>
      </w:pPr>
      <w:r>
        <w:t>GIADEC. A New VALCO Beckons: Government Seeks Strategic Investor to Galvanize IAI. giadec.com. July 2023.</w:t>
      </w:r>
    </w:p>
    <w:p w14:paraId="6156706D" w14:textId="77777777" w:rsidR="00D12C32" w:rsidRDefault="00D12C32" w:rsidP="00D12C32">
      <w:pPr>
        <w:pStyle w:val="ListParagraph"/>
        <w:numPr>
          <w:ilvl w:val="0"/>
          <w:numId w:val="1"/>
        </w:numPr>
        <w:contextualSpacing w:val="0"/>
      </w:pPr>
      <w:r>
        <w:t xml:space="preserve">GIADEC. VALCO to Undergo Major </w:t>
      </w:r>
      <w:proofErr w:type="spellStart"/>
      <w:r>
        <w:t>Modernisation</w:t>
      </w:r>
      <w:proofErr w:type="spellEnd"/>
      <w:r>
        <w:t xml:space="preserve"> with Strategic Partner Collaboration. giadec.com. 2023.</w:t>
      </w:r>
    </w:p>
    <w:p w14:paraId="4C2400DB" w14:textId="77777777" w:rsidR="00D12C32" w:rsidRDefault="00D12C32" w:rsidP="00D12C32">
      <w:pPr>
        <w:pStyle w:val="ListParagraph"/>
        <w:numPr>
          <w:ilvl w:val="0"/>
          <w:numId w:val="1"/>
        </w:numPr>
        <w:contextualSpacing w:val="0"/>
      </w:pPr>
      <w:r>
        <w:t>GIADEC. GIADEC Secures Strategic Investors for the Modernization of VALCO and Construction of Alumina Refinery. mlnr.gov.gh. January 2026.</w:t>
      </w:r>
    </w:p>
    <w:p w14:paraId="1C41BAAF" w14:textId="77777777" w:rsidR="00D12C32" w:rsidRDefault="00D12C32" w:rsidP="00D12C32">
      <w:pPr>
        <w:pStyle w:val="ListParagraph"/>
        <w:numPr>
          <w:ilvl w:val="0"/>
          <w:numId w:val="1"/>
        </w:numPr>
        <w:contextualSpacing w:val="0"/>
      </w:pPr>
      <w:r>
        <w:t xml:space="preserve">GIADEC. GIADEC Dismisses Reports of VALCO Sale, Confirms Strategic Partnership Instead. </w:t>
      </w:r>
      <w:proofErr w:type="spellStart"/>
      <w:r>
        <w:t>AlCircle</w:t>
      </w:r>
      <w:proofErr w:type="spellEnd"/>
      <w:r>
        <w:t>. January 2026.</w:t>
      </w:r>
    </w:p>
    <w:p w14:paraId="20A39F59" w14:textId="77777777" w:rsidR="00D12C32" w:rsidRPr="00A4551E" w:rsidRDefault="00D12C32" w:rsidP="00D12C32">
      <w:pPr>
        <w:pStyle w:val="ListParagraph"/>
        <w:numPr>
          <w:ilvl w:val="0"/>
          <w:numId w:val="1"/>
        </w:numPr>
        <w:contextualSpacing w:val="0"/>
        <w:rPr>
          <w:lang w:val="fr-FR"/>
        </w:rPr>
      </w:pPr>
      <w:r>
        <w:t xml:space="preserve">Ghana Integrated Aluminum Development Corporation. </w:t>
      </w:r>
      <w:r w:rsidRPr="00A4551E">
        <w:rPr>
          <w:lang w:val="fr-FR"/>
        </w:rPr>
        <w:t>VALCO Modernisation Project. valcotema.com. 2025.</w:t>
      </w:r>
    </w:p>
    <w:p w14:paraId="4024CFA8" w14:textId="77777777" w:rsidR="00D12C32" w:rsidRDefault="00D12C32" w:rsidP="00D12C32">
      <w:pPr>
        <w:pStyle w:val="ListParagraph"/>
        <w:numPr>
          <w:ilvl w:val="0"/>
          <w:numId w:val="1"/>
        </w:numPr>
        <w:contextualSpacing w:val="0"/>
      </w:pPr>
      <w:proofErr w:type="spellStart"/>
      <w:r>
        <w:t>GhanaWeb</w:t>
      </w:r>
      <w:proofErr w:type="spellEnd"/>
      <w:r>
        <w:t>. Government Requires USD 600M Investment to Revive VALCO. February 2026.</w:t>
      </w:r>
    </w:p>
    <w:p w14:paraId="5F3F2DF5" w14:textId="77777777" w:rsidR="00D12C32" w:rsidRDefault="00D12C32" w:rsidP="00D12C32">
      <w:pPr>
        <w:pStyle w:val="ListParagraph"/>
        <w:numPr>
          <w:ilvl w:val="0"/>
          <w:numId w:val="1"/>
        </w:numPr>
        <w:contextualSpacing w:val="0"/>
      </w:pPr>
      <w:r>
        <w:t>The High Street Journal. Ghana to Still Retain Significant Stake in VALCO After Partnership. January 2026.</w:t>
      </w:r>
    </w:p>
    <w:p w14:paraId="15D2E640" w14:textId="77777777" w:rsidR="00D12C32" w:rsidRDefault="00D12C32" w:rsidP="00D12C32">
      <w:pPr>
        <w:pStyle w:val="ListParagraph"/>
        <w:numPr>
          <w:ilvl w:val="0"/>
          <w:numId w:val="1"/>
        </w:numPr>
        <w:contextualSpacing w:val="0"/>
      </w:pPr>
      <w:r>
        <w:t xml:space="preserve">Ministry of Lands and Natural Resources. Inauguration of the Investor Selection Committee for VALCO </w:t>
      </w:r>
      <w:proofErr w:type="spellStart"/>
      <w:r>
        <w:t>Modernisation</w:t>
      </w:r>
      <w:proofErr w:type="spellEnd"/>
      <w:r>
        <w:t>. mlnr.gov.gh. November 2025.</w:t>
      </w:r>
    </w:p>
    <w:p w14:paraId="56D7DB59" w14:textId="77777777" w:rsidR="00D12C32" w:rsidRDefault="00D12C32" w:rsidP="00D12C32">
      <w:pPr>
        <w:pStyle w:val="ListParagraph"/>
        <w:numPr>
          <w:ilvl w:val="0"/>
          <w:numId w:val="1"/>
        </w:numPr>
        <w:contextualSpacing w:val="0"/>
      </w:pPr>
      <w:r>
        <w:t>Discovery Alert. Ghana Aluminum Industry Growth and VALCO Expansion Plans. discoveryalert.com.au. February 2026.</w:t>
      </w:r>
    </w:p>
    <w:p w14:paraId="3206C4B8" w14:textId="77777777" w:rsidR="00D12C32" w:rsidRDefault="00D12C32" w:rsidP="00D12C32">
      <w:pPr>
        <w:pStyle w:val="ListParagraph"/>
        <w:numPr>
          <w:ilvl w:val="0"/>
          <w:numId w:val="1"/>
        </w:numPr>
        <w:contextualSpacing w:val="0"/>
      </w:pPr>
      <w:r>
        <w:t>The Conversation. Ghana's Decades-Old Ambition to Build an Integrated Aluminum Industry Faces a New Hurdle: The Clean Energy Transition. April 2026.</w:t>
      </w:r>
    </w:p>
    <w:p w14:paraId="48B58316" w14:textId="77777777" w:rsidR="00D12C32" w:rsidRDefault="00D12C32" w:rsidP="00D12C32">
      <w:pPr>
        <w:pStyle w:val="ListParagraph"/>
        <w:numPr>
          <w:ilvl w:val="0"/>
          <w:numId w:val="1"/>
        </w:numPr>
        <w:contextualSpacing w:val="0"/>
      </w:pPr>
      <w:proofErr w:type="spellStart"/>
      <w:r>
        <w:t>NewsGhana</w:t>
      </w:r>
      <w:proofErr w:type="spellEnd"/>
      <w:r>
        <w:t>. Ghana Refinery Needs USD 720M Infrastructure Fix, Study Warns. NRGI findings. July 2026.</w:t>
      </w:r>
    </w:p>
    <w:p w14:paraId="7672BE54" w14:textId="7A68016A" w:rsidR="00D12C32" w:rsidRDefault="00D12C32" w:rsidP="00D12C32">
      <w:pPr>
        <w:pStyle w:val="ListParagraph"/>
        <w:numPr>
          <w:ilvl w:val="0"/>
          <w:numId w:val="1"/>
        </w:numPr>
        <w:contextualSpacing w:val="0"/>
      </w:pPr>
      <w:proofErr w:type="spellStart"/>
      <w:r>
        <w:t>AlCircle</w:t>
      </w:r>
      <w:proofErr w:type="spellEnd"/>
      <w:r>
        <w:t xml:space="preserve">. GIADEC, Under Ministerial Guidance, Steps Up Industrial Transformation, </w:t>
      </w:r>
      <w:r>
        <w:t>Prioritizing</w:t>
      </w:r>
      <w:r>
        <w:t xml:space="preserve"> VALCO Revamp. November 2025.</w:t>
      </w:r>
    </w:p>
    <w:p w14:paraId="2AFC8677" w14:textId="77777777" w:rsidR="00D12C32" w:rsidRDefault="00D12C32" w:rsidP="00D12C32">
      <w:pPr>
        <w:pStyle w:val="ListParagraph"/>
        <w:numPr>
          <w:ilvl w:val="0"/>
          <w:numId w:val="1"/>
        </w:numPr>
        <w:contextualSpacing w:val="0"/>
      </w:pPr>
      <w:r>
        <w:t>KPMG Ghana. VALCO Comprehensive Audit and Options Analysis. Commissioned by GIADEC. 2022 to 2023.</w:t>
      </w:r>
    </w:p>
    <w:p w14:paraId="34BF5714" w14:textId="77777777" w:rsidR="00D12C32" w:rsidRDefault="00D12C32" w:rsidP="00D12C32">
      <w:pPr>
        <w:pStyle w:val="ListParagraph"/>
        <w:numPr>
          <w:ilvl w:val="0"/>
          <w:numId w:val="1"/>
        </w:numPr>
        <w:contextualSpacing w:val="0"/>
      </w:pPr>
      <w:r>
        <w:t>World Bank Development Indicators API. Ghana Economic and Industrial Data. 2026.</w:t>
      </w:r>
    </w:p>
    <w:p w14:paraId="666C17CC" w14:textId="77777777" w:rsidR="00A700C2" w:rsidRDefault="00A700C2"/>
    <w:sectPr w:rsidR="00A700C2" w:rsidSect="00D12C3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AD0B0E"/>
    <w:multiLevelType w:val="hybridMultilevel"/>
    <w:tmpl w:val="9954A776"/>
    <w:lvl w:ilvl="0" w:tplc="CC5C7062">
      <w:start w:val="1"/>
      <w:numFmt w:val="bullet"/>
      <w:lvlText w:val="•"/>
      <w:lvlJc w:val="left"/>
      <w:pPr>
        <w:ind w:left="720" w:hanging="360"/>
      </w:pPr>
    </w:lvl>
    <w:lvl w:ilvl="1" w:tplc="C66A8D50">
      <w:numFmt w:val="decimal"/>
      <w:lvlText w:val=""/>
      <w:lvlJc w:val="left"/>
    </w:lvl>
    <w:lvl w:ilvl="2" w:tplc="9C40ACBC">
      <w:numFmt w:val="decimal"/>
      <w:lvlText w:val=""/>
      <w:lvlJc w:val="left"/>
    </w:lvl>
    <w:lvl w:ilvl="3" w:tplc="447CC7A6">
      <w:numFmt w:val="decimal"/>
      <w:lvlText w:val=""/>
      <w:lvlJc w:val="left"/>
    </w:lvl>
    <w:lvl w:ilvl="4" w:tplc="D67A8894">
      <w:numFmt w:val="decimal"/>
      <w:lvlText w:val=""/>
      <w:lvlJc w:val="left"/>
    </w:lvl>
    <w:lvl w:ilvl="5" w:tplc="043E0EE8">
      <w:numFmt w:val="decimal"/>
      <w:lvlText w:val=""/>
      <w:lvlJc w:val="left"/>
    </w:lvl>
    <w:lvl w:ilvl="6" w:tplc="491AFDA6">
      <w:numFmt w:val="decimal"/>
      <w:lvlText w:val=""/>
      <w:lvlJc w:val="left"/>
    </w:lvl>
    <w:lvl w:ilvl="7" w:tplc="5644FA36">
      <w:numFmt w:val="decimal"/>
      <w:lvlText w:val=""/>
      <w:lvlJc w:val="left"/>
    </w:lvl>
    <w:lvl w:ilvl="8" w:tplc="7710159A">
      <w:numFmt w:val="decimal"/>
      <w:lvlText w:val=""/>
      <w:lvlJc w:val="left"/>
    </w:lvl>
  </w:abstractNum>
  <w:num w:numId="1" w16cid:durableId="15901952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C32"/>
    <w:rsid w:val="00A700C2"/>
    <w:rsid w:val="00D12C32"/>
    <w:rsid w:val="00D16E8D"/>
    <w:rsid w:val="00E544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A56C6"/>
  <w15:chartTrackingRefBased/>
  <w15:docId w15:val="{DD07C70E-1F03-4F96-BB65-810837F6E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2C32"/>
    <w:pPr>
      <w:spacing w:after="0" w:line="240" w:lineRule="auto"/>
    </w:pPr>
    <w:rPr>
      <w:rFonts w:ascii="Arial" w:eastAsia="Arial" w:hAnsi="Arial" w:cs="Arial"/>
      <w:kern w:val="0"/>
      <w14:ligatures w14:val="none"/>
    </w:rPr>
  </w:style>
  <w:style w:type="paragraph" w:styleId="Heading1">
    <w:name w:val="heading 1"/>
    <w:basedOn w:val="Normal"/>
    <w:next w:val="Normal"/>
    <w:link w:val="Heading1Char"/>
    <w:uiPriority w:val="9"/>
    <w:qFormat/>
    <w:rsid w:val="00D12C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2C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12C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2C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C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C3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C3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C3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C3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C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2C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2C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C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C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C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C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C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C32"/>
    <w:rPr>
      <w:rFonts w:eastAsiaTheme="majorEastAsia" w:cstheme="majorBidi"/>
      <w:color w:val="272727" w:themeColor="text1" w:themeTint="D8"/>
    </w:rPr>
  </w:style>
  <w:style w:type="paragraph" w:styleId="Title">
    <w:name w:val="Title"/>
    <w:basedOn w:val="Normal"/>
    <w:next w:val="Normal"/>
    <w:link w:val="TitleChar"/>
    <w:uiPriority w:val="10"/>
    <w:qFormat/>
    <w:rsid w:val="00D12C3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C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C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C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C32"/>
    <w:pPr>
      <w:spacing w:before="160"/>
      <w:jc w:val="center"/>
    </w:pPr>
    <w:rPr>
      <w:i/>
      <w:iCs/>
      <w:color w:val="404040" w:themeColor="text1" w:themeTint="BF"/>
    </w:rPr>
  </w:style>
  <w:style w:type="character" w:customStyle="1" w:styleId="QuoteChar">
    <w:name w:val="Quote Char"/>
    <w:basedOn w:val="DefaultParagraphFont"/>
    <w:link w:val="Quote"/>
    <w:uiPriority w:val="29"/>
    <w:rsid w:val="00D12C32"/>
    <w:rPr>
      <w:i/>
      <w:iCs/>
      <w:color w:val="404040" w:themeColor="text1" w:themeTint="BF"/>
    </w:rPr>
  </w:style>
  <w:style w:type="paragraph" w:styleId="ListParagraph">
    <w:name w:val="List Paragraph"/>
    <w:basedOn w:val="Normal"/>
    <w:qFormat/>
    <w:rsid w:val="00D12C32"/>
    <w:pPr>
      <w:ind w:left="720"/>
      <w:contextualSpacing/>
    </w:pPr>
  </w:style>
  <w:style w:type="character" w:styleId="IntenseEmphasis">
    <w:name w:val="Intense Emphasis"/>
    <w:basedOn w:val="DefaultParagraphFont"/>
    <w:uiPriority w:val="21"/>
    <w:qFormat/>
    <w:rsid w:val="00D12C32"/>
    <w:rPr>
      <w:i/>
      <w:iCs/>
      <w:color w:val="0F4761" w:themeColor="accent1" w:themeShade="BF"/>
    </w:rPr>
  </w:style>
  <w:style w:type="paragraph" w:styleId="IntenseQuote">
    <w:name w:val="Intense Quote"/>
    <w:basedOn w:val="Normal"/>
    <w:next w:val="Normal"/>
    <w:link w:val="IntenseQuoteChar"/>
    <w:uiPriority w:val="30"/>
    <w:qFormat/>
    <w:rsid w:val="00D12C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C32"/>
    <w:rPr>
      <w:i/>
      <w:iCs/>
      <w:color w:val="0F4761" w:themeColor="accent1" w:themeShade="BF"/>
    </w:rPr>
  </w:style>
  <w:style w:type="character" w:styleId="IntenseReference">
    <w:name w:val="Intense Reference"/>
    <w:basedOn w:val="DefaultParagraphFont"/>
    <w:uiPriority w:val="32"/>
    <w:qFormat/>
    <w:rsid w:val="00D12C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4721</Words>
  <Characters>26915</Characters>
  <Application>Microsoft Office Word</Application>
  <DocSecurity>0</DocSecurity>
  <Lines>224</Lines>
  <Paragraphs>63</Paragraphs>
  <ScaleCrop>false</ScaleCrop>
  <Company/>
  <LinksUpToDate>false</LinksUpToDate>
  <CharactersWithSpaces>31573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Courage Cobbinah</dc:creator>
  <cp:keywords/>
  <dc:description/>
  <cp:lastModifiedBy>Courage Cobbinah</cp:lastModifiedBy>
  <cp:revision>1</cp:revision>
  <dcterms:created xsi:type="dcterms:W3CDTF">2026-07-01T18:10:00Z</dcterms:created>
  <dcterms:modified xsi:type="dcterms:W3CDTF">2026-07-01T18:16:00Z</dcterms:modified>
</cp:coreProperties>
</file>