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63c2h2noyrrc" w:id="0"/>
      <w:bookmarkEnd w:id="0"/>
      <w:r w:rsidDel="00000000" w:rsidR="00000000" w:rsidRPr="00000000">
        <w:rPr>
          <w:rtl w:val="0"/>
        </w:rPr>
        <w:t xml:space="preserve">       Identity Tokens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u w:val="single"/>
          <w:rtl w:val="0"/>
        </w:rPr>
        <w:t xml:space="preserve">Identity Tokens</w:t>
      </w:r>
      <w:r w:rsidDel="00000000" w:rsidR="00000000" w:rsidRPr="00000000">
        <w:rPr>
          <w:rtl w:val="0"/>
        </w:rPr>
        <w:t xml:space="preserve"> to access the Together1 API for testing purposes (e.g. using Postman) can be obtained by authenticating to Together1 using the browser and grabbing the ID Token from the debugging output of the Credential Service (filter the console for the string ‘[CredentialsService]’: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4205288" cy="428190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5288" cy="428190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Note that Identity Tokens include the identity and grants of a Together1 user, whereas access tokens do not.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(continued)</w:t>
      </w:r>
    </w:p>
    <w:p w:rsidR="00000000" w:rsidDel="00000000" w:rsidP="00000000" w:rsidRDefault="00000000" w:rsidRPr="00000000" w14:paraId="0000000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pageBreakBefore w:val="0"/>
        <w:rPr/>
      </w:pPr>
      <w:bookmarkStart w:colFirst="0" w:colLast="0" w:name="_otah1dasgass" w:id="1"/>
      <w:bookmarkEnd w:id="1"/>
      <w:r w:rsidDel="00000000" w:rsidR="00000000" w:rsidRPr="00000000">
        <w:rPr>
          <w:rtl w:val="0"/>
        </w:rPr>
        <w:t xml:space="preserve">Postman Authentication Using Tokens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Postman, you can set this as a Bearer token for the authentication: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5800132" cy="262413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00132"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(continued)</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uwteu9o67doi" w:id="2"/>
      <w:bookmarkEnd w:id="2"/>
      <w:r w:rsidDel="00000000" w:rsidR="00000000" w:rsidRPr="00000000">
        <w:rPr>
          <w:rtl w:val="0"/>
        </w:rPr>
        <w:t xml:space="preserve">Access Tokens from Auth0 Dashboard</w:t>
        <w:br w:type="textWrapping"/>
      </w:r>
    </w:p>
    <w:p w:rsidR="00000000" w:rsidDel="00000000" w:rsidP="00000000" w:rsidRDefault="00000000" w:rsidRPr="00000000" w14:paraId="00000015">
      <w:pPr>
        <w:pageBreakBefore w:val="0"/>
        <w:rPr/>
      </w:pPr>
      <w:r w:rsidDel="00000000" w:rsidR="00000000" w:rsidRPr="00000000">
        <w:rPr>
          <w:u w:val="single"/>
          <w:rtl w:val="0"/>
        </w:rPr>
        <w:t xml:space="preserve">Access Tokens</w:t>
      </w:r>
      <w:r w:rsidDel="00000000" w:rsidR="00000000" w:rsidRPr="00000000">
        <w:rPr>
          <w:rtl w:val="0"/>
        </w:rPr>
        <w:t xml:space="preserve"> to access the Together1 API can be generated using the Auth0 dashboard.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Go to “APIs/Together1API”:</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2425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(continued)</w:t>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Then in the API, open the “Test” tab:</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943600" cy="5626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You can use the token in the example response, highlighted above.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To see the contents of the token, the site </w:t>
      </w:r>
      <w:hyperlink r:id="rId10">
        <w:r w:rsidDel="00000000" w:rsidR="00000000" w:rsidRPr="00000000">
          <w:rPr>
            <w:color w:val="1155cc"/>
            <w:u w:val="single"/>
            <w:rtl w:val="0"/>
          </w:rPr>
          <w:t xml:space="preserve">http://jwt.io</w:t>
        </w:r>
      </w:hyperlink>
      <w:r w:rsidDel="00000000" w:rsidR="00000000" w:rsidRPr="00000000">
        <w:rPr>
          <w:rtl w:val="0"/>
        </w:rPr>
        <w:t xml:space="preserve"> can decode the token for you.  For example:</w:t>
      </w:r>
    </w:p>
    <w:p w:rsidR="00000000" w:rsidDel="00000000" w:rsidP="00000000" w:rsidRDefault="00000000" w:rsidRPr="00000000" w14:paraId="00000025">
      <w:pPr>
        <w:pageBreakBefore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 </w:t>
              <w:br w:type="textWrapping"/>
              <w:t xml:space="preserve">header: {</w:t>
              <w:br w:type="textWrapping"/>
              <w:t xml:space="preserve">  </w:t>
            </w:r>
            <w:r w:rsidDel="00000000" w:rsidR="00000000" w:rsidRPr="00000000">
              <w:rPr>
                <w:rFonts w:ascii="Consolas" w:cs="Consolas" w:eastAsia="Consolas" w:hAnsi="Consolas"/>
                <w:color w:val="660066"/>
                <w:highlight w:val="white"/>
                <w:rtl w:val="0"/>
              </w:rPr>
              <w:t xml:space="preserve">"alg"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"RS256"</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"typ"</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"JWT"</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"kid"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"IMPsSxChys4t-kfV4gsa-"</w:t>
            </w:r>
            <w:r w:rsidDel="00000000" w:rsidR="00000000" w:rsidRPr="00000000">
              <w:rPr>
                <w:rFonts w:ascii="Consolas" w:cs="Consolas" w:eastAsia="Consolas" w:hAnsi="Consolas"/>
                <w:color w:val="000000"/>
                <w:highlight w:val="white"/>
                <w:rtl w:val="0"/>
              </w:rPr>
              <w:br w:type="textWrapping"/>
              <w:t xml:space="preserve">}</w:t>
              <w:br w:type="textWrapping"/>
              <w:t xml:space="preserve">payload: {</w:t>
              <w:br w:type="textWrapping"/>
              <w:t xml:space="preserve">  </w:t>
            </w:r>
            <w:r w:rsidDel="00000000" w:rsidR="00000000" w:rsidRPr="00000000">
              <w:rPr>
                <w:rFonts w:ascii="Consolas" w:cs="Consolas" w:eastAsia="Consolas" w:hAnsi="Consolas"/>
                <w:color w:val="660066"/>
                <w:highlight w:val="white"/>
                <w:rtl w:val="0"/>
              </w:rPr>
              <w:t xml:space="preserve">"iss"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"https://dev-t9jxb3k9.us.auth0.com/"</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"sub"</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"1C5VxGtiGp2qz12UwxUIXAfeYvGM313H@clients"</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"aud"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"https://together1api.togetherseniorlife.com"</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"iat"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1597167538</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"exp"</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1597253938</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"azp"</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"1C5VxGtiGp2qz12UwxUIXAfeYvGM313H"</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"gty"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"client-credentials"</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660066"/>
                <w:highlight w:val="white"/>
                <w:rtl w:val="0"/>
              </w:rPr>
              <w:t xml:space="preserve">"permissions"</w:t>
            </w:r>
            <w:r w:rsidDel="00000000" w:rsidR="00000000" w:rsidRPr="00000000">
              <w:rPr>
                <w:rFonts w:ascii="Consolas" w:cs="Consolas" w:eastAsia="Consolas" w:hAnsi="Consolas"/>
                <w:color w:val="000000"/>
                <w:highlight w:val="white"/>
                <w:rtl w:val="0"/>
              </w:rPr>
              <w:t xml:space="preserve">: []</w:t>
              <w:br w:type="textWrapping"/>
              <w:t xml:space="preserve">}</w:t>
              <w:br w:type="textWrapping"/>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highlight w:val="yellow"/>
              </w:rPr>
            </w:pPr>
            <w:r w:rsidDel="00000000" w:rsidR="00000000" w:rsidRPr="00000000">
              <w:rPr>
                <w:highlight w:val="yellow"/>
                <w:rtl w:val="0"/>
              </w:rPr>
              <w:t xml:space="preserve">Notice that the token will authenticate to the API, but it does not contain an Auth0 identity (‘sub’ property of the payload) and no permissions, so it may not be useful for some scenarios.</w:t>
            </w:r>
            <w:r w:rsidDel="00000000" w:rsidR="00000000" w:rsidRPr="00000000">
              <w:rPr>
                <w:rtl w:val="0"/>
              </w:rPr>
            </w:r>
          </w:p>
        </w:tc>
      </w:tr>
    </w:tbl>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jwt.io"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