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25960" w14:textId="20C9137F" w:rsidR="00BB0B43" w:rsidRDefault="00000000" w:rsidP="009816A9">
      <w:pPr>
        <w:jc w:val="center"/>
      </w:pPr>
      <w:r>
        <w:rPr>
          <w:b/>
          <w:color w:val="1B5E20"/>
          <w:sz w:val="44"/>
        </w:rPr>
        <w:t>Panorama Fiscal do D</w:t>
      </w:r>
      <w:r w:rsidR="009816A9">
        <w:rPr>
          <w:b/>
          <w:color w:val="1B5E20"/>
          <w:sz w:val="44"/>
        </w:rPr>
        <w:t>F</w:t>
      </w:r>
    </w:p>
    <w:p w14:paraId="6ECB64D4" w14:textId="5AB9CF10" w:rsidR="00BB0B43" w:rsidRDefault="00D124C5" w:rsidP="009816A9">
      <w:pPr>
        <w:jc w:val="center"/>
      </w:pPr>
      <w:r w:rsidRPr="00D124C5">
        <w:rPr>
          <w:i/>
          <w:color w:val="2E7D32"/>
          <w:sz w:val="28"/>
        </w:rPr>
        <w:t>Diagnóstico das contas públicas e agenda para recuperar a capacidade de investimento</w:t>
      </w:r>
    </w:p>
    <w:p w14:paraId="0BE8189F" w14:textId="42CEC37B" w:rsidR="00BB0B43" w:rsidRDefault="009816A9" w:rsidP="009816A9">
      <w:pPr>
        <w:jc w:val="right"/>
      </w:pPr>
      <w:r>
        <w:rPr>
          <w:color w:val="6B7280"/>
          <w:sz w:val="20"/>
        </w:rPr>
        <w:t>1</w:t>
      </w:r>
      <w:r w:rsidR="00365945">
        <w:rPr>
          <w:color w:val="6B7280"/>
          <w:sz w:val="20"/>
        </w:rPr>
        <w:t>5</w:t>
      </w:r>
      <w:r>
        <w:rPr>
          <w:color w:val="6B7280"/>
          <w:sz w:val="20"/>
        </w:rPr>
        <w:t>/05/2026</w:t>
      </w:r>
    </w:p>
    <w:p w14:paraId="00464298" w14:textId="425BDEC3" w:rsidR="00BB0B43" w:rsidRDefault="009816A9" w:rsidP="009816A9">
      <w:pPr>
        <w:pStyle w:val="Ttulo1"/>
        <w:spacing w:after="120"/>
        <w:jc w:val="both"/>
        <w:rPr>
          <w:color w:val="2E7D32"/>
          <w:sz w:val="32"/>
        </w:rPr>
      </w:pPr>
      <w:r>
        <w:rPr>
          <w:color w:val="2E7D32"/>
          <w:sz w:val="32"/>
        </w:rPr>
        <w:t>Contexto geral</w:t>
      </w:r>
    </w:p>
    <w:p w14:paraId="227561F7" w14:textId="42A8DCA3" w:rsidR="00BB0B43" w:rsidRDefault="00000000" w:rsidP="009816A9">
      <w:pPr>
        <w:jc w:val="both"/>
      </w:pPr>
      <w:r>
        <w:t>O orçamento do Distrito Federal em 2026 é de R$ 44,1 bi</w:t>
      </w:r>
      <w:r w:rsidR="009816A9">
        <w:t>lhões. A</w:t>
      </w:r>
      <w:r>
        <w:t>crescido de R$ 28,4 bi</w:t>
      </w:r>
      <w:r w:rsidR="009816A9">
        <w:t>lhões</w:t>
      </w:r>
      <w:r>
        <w:t xml:space="preserve"> do Fundo Constitucional (FCDF</w:t>
      </w:r>
      <w:r w:rsidR="009816A9">
        <w:t>)</w:t>
      </w:r>
      <w:r>
        <w:t xml:space="preserve">, </w:t>
      </w:r>
      <w:r w:rsidR="009816A9">
        <w:t>os recursos para fazer frente às despesas do ano são da ordem de</w:t>
      </w:r>
      <w:r>
        <w:t xml:space="preserve"> R$ 72,5 bi</w:t>
      </w:r>
      <w:r w:rsidR="009816A9">
        <w:t>lhões</w:t>
      </w:r>
      <w:r>
        <w:t>.</w:t>
      </w:r>
      <w:r w:rsidR="005A57B4">
        <w:t xml:space="preserve"> O orçamento do DF, sozinho, já nos colocaria como 12º maior orçamento do país. Considerando os recursos do FCDF, ocupamos a 6ª colocação, atrás apenas de São Paulo, Minas Gerais, Rio de Janeiro, Rio Grande do Sul e Paraná.</w:t>
      </w:r>
      <w:r w:rsidR="00E87DE4">
        <w:t xml:space="preserve"> </w:t>
      </w:r>
      <w:r>
        <w:t>Apesar do volume de recursos, o DF apresenta um quadro fiscal preocupante.</w:t>
      </w:r>
    </w:p>
    <w:p w14:paraId="20F367D6" w14:textId="56887C17" w:rsidR="00750FA3" w:rsidRDefault="00000000" w:rsidP="009816A9">
      <w:pPr>
        <w:jc w:val="both"/>
      </w:pPr>
      <w:r>
        <w:t xml:space="preserve">A nota CAPAG consolidada do DF é “C”, classificação que impede a contratação de operações de crédito com garantia da União. O pior indicador é </w:t>
      </w:r>
      <w:r w:rsidR="00750FA3">
        <w:t>a chamada</w:t>
      </w:r>
      <w:r>
        <w:t xml:space="preserve"> </w:t>
      </w:r>
      <w:r w:rsidR="00750FA3">
        <w:t>P</w:t>
      </w:r>
      <w:r>
        <w:t>oupança Corrente</w:t>
      </w:r>
      <w:r w:rsidR="00750FA3">
        <w:t xml:space="preserve">, ou seja, a economia realizada para fazer face a investimentos e outras despesas de capital. No DF, </w:t>
      </w:r>
      <w:r>
        <w:t>praticamente toda a receita corrente é consumida pela</w:t>
      </w:r>
      <w:r w:rsidR="00E87DE4">
        <w:t>s</w:t>
      </w:r>
      <w:r>
        <w:t xml:space="preserve"> despesa</w:t>
      </w:r>
      <w:r w:rsidR="00E87DE4">
        <w:t>s</w:t>
      </w:r>
      <w:r>
        <w:t xml:space="preserve"> corrente</w:t>
      </w:r>
      <w:r w:rsidR="00E87DE4">
        <w:t>s</w:t>
      </w:r>
      <w:r>
        <w:t xml:space="preserve">, sem margem para investir. </w:t>
      </w:r>
    </w:p>
    <w:p w14:paraId="0C3C02AC" w14:textId="1C79929B" w:rsidR="00BB0B43" w:rsidRDefault="00750FA3" w:rsidP="009816A9">
      <w:pPr>
        <w:jc w:val="both"/>
      </w:pPr>
      <w:r>
        <w:t>Os recursos em caixa estão em queda. A disponibilidade líquida, ou seja, descontadas as obrigações financeiras de curto prazo, caiu de R$ 1,9 bi em 2021 para R$ 570 mi em 2025. O cenário é ainda mais preocupante quando consideramos apenas aqueles recursos em caixa que não estão vinculados a despesas específicas, as chamadas fontes livres. Nesse caso, a disponibilidade chega a ser negativa.</w:t>
      </w:r>
    </w:p>
    <w:p w14:paraId="089EE2A6" w14:textId="77777777" w:rsidR="00E87DE4" w:rsidRDefault="00E87DE4" w:rsidP="009816A9">
      <w:pPr>
        <w:jc w:val="both"/>
      </w:pPr>
      <w:r>
        <w:t xml:space="preserve">Também investimos pouco. O investimento total equivale a apenas 4,7% da receita corrente líquida (RCL), posicionando o DF em 20º lugar entre as 27 unidades da federação. Para </w:t>
      </w:r>
      <w:r w:rsidR="009A0446">
        <w:t xml:space="preserve">que se tenha uma dimensão do </w:t>
      </w:r>
      <w:r>
        <w:t>desafio,</w:t>
      </w:r>
      <w:r w:rsidR="009A0446">
        <w:t xml:space="preserve"> se quiséssemos apenas </w:t>
      </w:r>
      <w:r>
        <w:t xml:space="preserve">alcançar a média </w:t>
      </w:r>
      <w:r w:rsidR="009A0446">
        <w:t xml:space="preserve">dos </w:t>
      </w:r>
      <w:r>
        <w:t>E</w:t>
      </w:r>
      <w:r w:rsidR="009A0446">
        <w:t>stados,</w:t>
      </w:r>
      <w:r>
        <w:t xml:space="preserve"> seria necessário </w:t>
      </w:r>
      <w:r w:rsidR="009A0446">
        <w:t xml:space="preserve">investir mais </w:t>
      </w:r>
      <w:r>
        <w:t>R$ 1,5 bi</w:t>
      </w:r>
      <w:r w:rsidR="009A0446">
        <w:t>lhão por ano</w:t>
      </w:r>
      <w:r>
        <w:t xml:space="preserve">. Para atingir o patamar de investimentos do líder – o Piauí, que em 2025 investiu o equivalente a 17% da sua RCL – o gasto adicional seria de R$ 4,8 bilhões. </w:t>
      </w:r>
    </w:p>
    <w:p w14:paraId="7AA02290" w14:textId="77777777" w:rsidR="00E87DE4" w:rsidRDefault="00000000" w:rsidP="009816A9">
      <w:pPr>
        <w:jc w:val="both"/>
      </w:pPr>
      <w:r>
        <w:t>A despesa com pessoal está em 41,5% da RCL</w:t>
      </w:r>
      <w:r w:rsidR="00E87DE4">
        <w:t xml:space="preserve">, </w:t>
      </w:r>
      <w:r>
        <w:t xml:space="preserve">dentro do limite legal, mas próxima do </w:t>
      </w:r>
      <w:r w:rsidR="00E87DE4">
        <w:t xml:space="preserve">chamado limite de </w:t>
      </w:r>
      <w:r>
        <w:t>alerta</w:t>
      </w:r>
      <w:r w:rsidR="00E87DE4">
        <w:t xml:space="preserve">, que é de </w:t>
      </w:r>
      <w:r>
        <w:t>44,1%</w:t>
      </w:r>
      <w:r w:rsidR="00E87DE4">
        <w:t xml:space="preserve"> para o Poder Executivo</w:t>
      </w:r>
      <w:r>
        <w:t xml:space="preserve">. </w:t>
      </w:r>
    </w:p>
    <w:p w14:paraId="753F3C59" w14:textId="03CD573B" w:rsidR="00BB0B43" w:rsidRDefault="00E87DE4" w:rsidP="009816A9">
      <w:pPr>
        <w:jc w:val="both"/>
      </w:pPr>
      <w:r>
        <w:t>Esse quadro é agravado pelo volume concedido de benefícios tributários, sobretudo ICMS, nossa principal receita. Em 2025, eles totalizaram R$ 13,4 bilhões, equivalente a 57% da toda nossa arrecadação com impostos no ano.</w:t>
      </w:r>
    </w:p>
    <w:p w14:paraId="15FB278F" w14:textId="77777777" w:rsidR="00BB0B43" w:rsidRDefault="00000000" w:rsidP="009816A9">
      <w:pPr>
        <w:jc w:val="both"/>
      </w:pPr>
      <w:r>
        <w:t>A combinação desses sinais aponta para a necessidade urgente de uma agenda de recuperação fiscal sustentada em três eixos: (i) revisão do gasto direto; (</w:t>
      </w:r>
      <w:proofErr w:type="spellStart"/>
      <w:r>
        <w:t>ii</w:t>
      </w:r>
      <w:proofErr w:type="spellEnd"/>
      <w:r>
        <w:t>) governança dos incentivos tributários; e (</w:t>
      </w:r>
      <w:proofErr w:type="spellStart"/>
      <w:r>
        <w:t>iii</w:t>
      </w:r>
      <w:proofErr w:type="spellEnd"/>
      <w:r>
        <w:t>) reconstrução da poupança corrente e fortalecimento da governança fiscal.</w:t>
      </w:r>
    </w:p>
    <w:p w14:paraId="4E2C45DB" w14:textId="3B5611F4" w:rsidR="00BB0B43" w:rsidRDefault="00E87DE4" w:rsidP="009816A9">
      <w:pPr>
        <w:pStyle w:val="Ttulo1"/>
        <w:jc w:val="both"/>
      </w:pPr>
      <w:r>
        <w:rPr>
          <w:color w:val="2E7D32"/>
          <w:sz w:val="32"/>
        </w:rPr>
        <w:t>Situação fiscal em números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58"/>
        <w:gridCol w:w="5730"/>
      </w:tblGrid>
      <w:tr w:rsidR="00BB0B43" w14:paraId="665ABB4E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  <w:vAlign w:val="center"/>
          </w:tcPr>
          <w:p w14:paraId="1380C1A5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w="2812" w:type="pct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  <w:vAlign w:val="center"/>
          </w:tcPr>
          <w:p w14:paraId="4D919DAC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Valor</w:t>
            </w:r>
          </w:p>
        </w:tc>
      </w:tr>
      <w:tr w:rsidR="00BB0B43" w14:paraId="7D22D904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1D087C9" w14:textId="6A0B6558" w:rsidR="00BB0B43" w:rsidRDefault="00000000" w:rsidP="00E87DE4">
            <w:pPr>
              <w:spacing w:after="0" w:line="240" w:lineRule="auto"/>
            </w:pPr>
            <w:r>
              <w:rPr>
                <w:b/>
              </w:rPr>
              <w:t xml:space="preserve">Orçamento DF </w:t>
            </w:r>
            <w:r w:rsidR="00E87DE4">
              <w:rPr>
                <w:b/>
              </w:rPr>
              <w:t xml:space="preserve">em 2026 </w:t>
            </w:r>
            <w:r>
              <w:rPr>
                <w:b/>
              </w:rPr>
              <w:t>(próprio)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52F92E3" w14:textId="1F217F18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1A5FA6"/>
                <w:sz w:val="26"/>
              </w:rPr>
              <w:t>R$ 44,1 bi</w:t>
            </w:r>
            <w:r w:rsidR="00E87DE4">
              <w:rPr>
                <w:b/>
                <w:color w:val="1A5FA6"/>
                <w:sz w:val="26"/>
              </w:rPr>
              <w:t>lhões</w:t>
            </w:r>
          </w:p>
        </w:tc>
      </w:tr>
      <w:tr w:rsidR="00BB0B43" w14:paraId="6A6C8CE2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CEC6464" w14:textId="65EAA02C" w:rsidR="00BB0B43" w:rsidRDefault="00000000" w:rsidP="00E87DE4">
            <w:pPr>
              <w:spacing w:after="0" w:line="240" w:lineRule="auto"/>
            </w:pPr>
            <w:r>
              <w:rPr>
                <w:b/>
              </w:rPr>
              <w:lastRenderedPageBreak/>
              <w:t>FCDF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CD88B81" w14:textId="657E93E8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1A5FA6"/>
                <w:sz w:val="26"/>
              </w:rPr>
              <w:t>R$ 28,4 bi</w:t>
            </w:r>
            <w:r w:rsidR="00E87DE4">
              <w:rPr>
                <w:b/>
                <w:color w:val="1A5FA6"/>
                <w:sz w:val="26"/>
              </w:rPr>
              <w:t>lhões</w:t>
            </w:r>
          </w:p>
        </w:tc>
      </w:tr>
      <w:tr w:rsidR="00BB0B43" w14:paraId="56410F08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1659CB5" w14:textId="77777777" w:rsidR="00BB0B43" w:rsidRDefault="00000000" w:rsidP="00E87DE4">
            <w:pPr>
              <w:spacing w:after="0" w:line="240" w:lineRule="auto"/>
            </w:pPr>
            <w:r>
              <w:rPr>
                <w:b/>
              </w:rPr>
              <w:t>Investimento / RCL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8CC074E" w14:textId="74798EB2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C47A10"/>
                <w:sz w:val="26"/>
              </w:rPr>
              <w:t>4,7%</w:t>
            </w:r>
            <w:r w:rsidR="00E87DE4">
              <w:rPr>
                <w:b/>
                <w:color w:val="C47A10"/>
                <w:sz w:val="26"/>
              </w:rPr>
              <w:t xml:space="preserve"> </w:t>
            </w:r>
            <w:r w:rsidR="00E87DE4">
              <w:rPr>
                <w:b/>
                <w:color w:val="C47A10"/>
                <w:sz w:val="26"/>
              </w:rPr>
              <w:br/>
            </w:r>
            <w:r>
              <w:rPr>
                <w:i/>
                <w:color w:val="6B7280"/>
                <w:sz w:val="18"/>
              </w:rPr>
              <w:t>20º lugar no Brasil</w:t>
            </w:r>
          </w:p>
        </w:tc>
      </w:tr>
      <w:tr w:rsidR="00BB0B43" w14:paraId="0F96B755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8EA7BA0" w14:textId="77777777" w:rsidR="00BB0B43" w:rsidRDefault="00000000" w:rsidP="00E87DE4">
            <w:pPr>
              <w:spacing w:after="0" w:line="240" w:lineRule="auto"/>
            </w:pPr>
            <w:r>
              <w:rPr>
                <w:b/>
              </w:rPr>
              <w:t>Nota CAPAG consolidada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6957B2B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C0392B"/>
                <w:sz w:val="26"/>
              </w:rPr>
              <w:t>C</w:t>
            </w:r>
          </w:p>
          <w:p w14:paraId="5FA31CDA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i/>
                <w:color w:val="6B7280"/>
                <w:sz w:val="18"/>
              </w:rPr>
              <w:t>Pior indicador: poupança corrente</w:t>
            </w:r>
          </w:p>
        </w:tc>
      </w:tr>
      <w:tr w:rsidR="00BB0B43" w14:paraId="25FC210B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403ED14" w14:textId="010D306B" w:rsidR="00BB0B43" w:rsidRDefault="00E87DE4" w:rsidP="00E87DE4">
            <w:pPr>
              <w:spacing w:after="0" w:line="240" w:lineRule="auto"/>
            </w:pPr>
            <w:r>
              <w:rPr>
                <w:b/>
              </w:rPr>
              <w:t>Recursos em caixa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5AAF0C2" w14:textId="73EF5238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C0392B"/>
                <w:sz w:val="26"/>
              </w:rPr>
              <w:t>R$ 570 mi</w:t>
            </w:r>
            <w:r w:rsidR="00E87DE4">
              <w:rPr>
                <w:b/>
                <w:color w:val="C0392B"/>
                <w:sz w:val="26"/>
              </w:rPr>
              <w:t>lhões</w:t>
            </w:r>
          </w:p>
          <w:p w14:paraId="49E309CF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i/>
                <w:color w:val="6B7280"/>
                <w:sz w:val="18"/>
              </w:rPr>
              <w:t>Disponibilidade líquida — dez/2025</w:t>
            </w:r>
          </w:p>
        </w:tc>
      </w:tr>
      <w:tr w:rsidR="00BB0B43" w14:paraId="02CC1A1B" w14:textId="77777777" w:rsidTr="00E87DE4">
        <w:trPr>
          <w:trHeight w:val="113"/>
        </w:trPr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48C6A7A" w14:textId="77777777" w:rsidR="00BB0B43" w:rsidRDefault="00000000" w:rsidP="00E87DE4">
            <w:pPr>
              <w:spacing w:after="0" w:line="240" w:lineRule="auto"/>
            </w:pPr>
            <w:r>
              <w:rPr>
                <w:b/>
              </w:rPr>
              <w:t>Benefícios tributários</w:t>
            </w:r>
          </w:p>
        </w:tc>
        <w:tc>
          <w:tcPr>
            <w:tcW w:w="281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9DDAF1A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b/>
                <w:color w:val="C47A10"/>
                <w:sz w:val="26"/>
              </w:rPr>
              <w:t>R$ 13,4 bi</w:t>
            </w:r>
          </w:p>
          <w:p w14:paraId="389337B0" w14:textId="77777777" w:rsidR="00BB0B43" w:rsidRDefault="00000000" w:rsidP="00E87DE4">
            <w:pPr>
              <w:spacing w:after="0" w:line="240" w:lineRule="auto"/>
              <w:jc w:val="center"/>
            </w:pPr>
            <w:r>
              <w:rPr>
                <w:i/>
                <w:color w:val="6B7280"/>
                <w:sz w:val="18"/>
              </w:rPr>
              <w:t>57% da receita de impostos</w:t>
            </w:r>
          </w:p>
        </w:tc>
      </w:tr>
    </w:tbl>
    <w:p w14:paraId="6B123601" w14:textId="71A147B0" w:rsidR="00BB0B43" w:rsidRDefault="00000000" w:rsidP="009816A9">
      <w:pPr>
        <w:jc w:val="both"/>
      </w:pPr>
      <w:r>
        <w:rPr>
          <w:i/>
          <w:color w:val="6B7280"/>
          <w:sz w:val="18"/>
        </w:rPr>
        <w:t xml:space="preserve">Fonte: Orçamento DF: RREO – 1º bimestre de 2026. FCDF: Portal da Transparência da União — órgão 25915. Investimento/RCL: cálculo a partir de RREO – 6º bimestre de 2025 e RGF – Poder Executivo – 3º quadrimestre de 2025. CAPAG: Tesouro Transparente. Caixa: RGF – Poder Executivo – 3º quadrimestre de 2025. Benefícios: </w:t>
      </w:r>
      <w:proofErr w:type="spellStart"/>
      <w:r>
        <w:rPr>
          <w:i/>
          <w:color w:val="6B7280"/>
          <w:sz w:val="18"/>
        </w:rPr>
        <w:t>Beneficiômetro</w:t>
      </w:r>
      <w:proofErr w:type="spellEnd"/>
      <w:r>
        <w:rPr>
          <w:i/>
          <w:color w:val="6B7280"/>
          <w:sz w:val="18"/>
        </w:rPr>
        <w:t xml:space="preserve"> SEEC-DF.</w:t>
      </w:r>
    </w:p>
    <w:p w14:paraId="2B4B4A4E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Investimento Público</w:t>
      </w:r>
    </w:p>
    <w:p w14:paraId="026E6F1A" w14:textId="70982575" w:rsidR="00BB0B43" w:rsidRDefault="00000000" w:rsidP="009816A9">
      <w:pPr>
        <w:jc w:val="both"/>
      </w:pPr>
      <w:r>
        <w:t>A taxa de investimento sobre a RCL do DF (4,7% em 2025) o coloca em 20º lugar no ranking nacional, atrás da média (8,4%) e muito distante de estados como Piauí (17%), Espírito Santo (14,8%) e Maranhão (14%). Em termos absolutos, o investimento liquidado evoluiu de R$ 0,7 bi</w:t>
      </w:r>
      <w:r w:rsidR="00E87DE4">
        <w:t>lhão</w:t>
      </w:r>
      <w:r>
        <w:t xml:space="preserve"> em 2021 para R$ 1,8 bi</w:t>
      </w:r>
      <w:r w:rsidR="00E87DE4">
        <w:t>lhão</w:t>
      </w:r>
      <w:r>
        <w:t xml:space="preserve"> em 2025.</w:t>
      </w:r>
    </w:p>
    <w:p w14:paraId="27B1D6F2" w14:textId="534819E8" w:rsidR="00BB0B43" w:rsidRDefault="00000000" w:rsidP="009816A9">
      <w:pPr>
        <w:jc w:val="both"/>
      </w:pPr>
      <w:r>
        <w:rPr>
          <w:b/>
        </w:rPr>
        <w:t>Lacunas para fechar:</w:t>
      </w:r>
    </w:p>
    <w:p w14:paraId="6C8FCF63" w14:textId="77777777" w:rsidR="00BB0B43" w:rsidRDefault="00000000" w:rsidP="009816A9">
      <w:pPr>
        <w:pStyle w:val="Commarcadores"/>
        <w:jc w:val="both"/>
      </w:pPr>
      <w:r>
        <w:t>Para atingir a média nacional (8,4% da RCL): +R$ 1,5 bi/ano</w:t>
      </w:r>
    </w:p>
    <w:p w14:paraId="6414021F" w14:textId="77777777" w:rsidR="00BB0B43" w:rsidRDefault="00000000" w:rsidP="009816A9">
      <w:pPr>
        <w:pStyle w:val="Commarcadores"/>
        <w:jc w:val="both"/>
      </w:pPr>
      <w:r>
        <w:t>Para atingir o nível do líder Piauí (17% da RCL): +R$ 4,8 bi/ano</w:t>
      </w:r>
    </w:p>
    <w:p w14:paraId="6EA25486" w14:textId="77777777" w:rsidR="00BB0B43" w:rsidRDefault="00000000" w:rsidP="009816A9">
      <w:pPr>
        <w:pStyle w:val="Commarcadores"/>
        <w:jc w:val="both"/>
      </w:pPr>
      <w:r>
        <w:t>Em termos per capita, o DF ocupa o 12º lugar no país</w:t>
      </w:r>
    </w:p>
    <w:p w14:paraId="3C6CF845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CAPAG — Capacidade de Pagamento</w:t>
      </w:r>
    </w:p>
    <w:p w14:paraId="5689004A" w14:textId="77777777" w:rsidR="00BC7235" w:rsidRDefault="00BC7235" w:rsidP="009816A9">
      <w:pPr>
        <w:jc w:val="both"/>
      </w:pPr>
      <w:r w:rsidRPr="00BC7235">
        <w:t xml:space="preserve">A análise da capacidade de pagamento </w:t>
      </w:r>
      <w:r>
        <w:t>(</w:t>
      </w:r>
      <w:proofErr w:type="spellStart"/>
      <w:r>
        <w:t>Capag</w:t>
      </w:r>
      <w:proofErr w:type="spellEnd"/>
      <w:r>
        <w:t xml:space="preserve">) </w:t>
      </w:r>
      <w:r w:rsidRPr="00BC7235">
        <w:t xml:space="preserve">apura a situação fiscal dos Entes Subnacionais que querem contrair novos empréstimos com garantia da União. O intuito da </w:t>
      </w:r>
      <w:proofErr w:type="spellStart"/>
      <w:r w:rsidRPr="00BC7235">
        <w:t>Capag</w:t>
      </w:r>
      <w:proofErr w:type="spellEnd"/>
      <w:r w:rsidRPr="00BC7235">
        <w:t xml:space="preserve"> é apresentar de forma simples e transparente se um novo endividamento representa risco de crédito para o Tesouro Nacional</w:t>
      </w:r>
      <w:r>
        <w:t xml:space="preserve">. </w:t>
      </w:r>
    </w:p>
    <w:p w14:paraId="148F00F7" w14:textId="3792A98C" w:rsidR="00BC7235" w:rsidRDefault="00BC7235" w:rsidP="009816A9">
      <w:pPr>
        <w:jc w:val="both"/>
      </w:pPr>
      <w:r>
        <w:t>Atualmente, a nota CAPAG consolidada do DF é “C”, que, na prática, restringe novas operações de crédito com garantia da União.</w:t>
      </w:r>
    </w:p>
    <w:p w14:paraId="3B7D5352" w14:textId="19D17C01" w:rsidR="00BB0B43" w:rsidRDefault="00000000" w:rsidP="009816A9">
      <w:pPr>
        <w:jc w:val="both"/>
      </w:pPr>
      <w:r>
        <w:t>A CAPAG é composta por três indicadores avaliados pelo Tesouro Nacional: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597"/>
        <w:gridCol w:w="1198"/>
        <w:gridCol w:w="1797"/>
        <w:gridCol w:w="3596"/>
      </w:tblGrid>
      <w:tr w:rsidR="00BB0B43" w14:paraId="5B17FC5F" w14:textId="77777777" w:rsidTr="00BC7235">
        <w:tc>
          <w:tcPr>
            <w:tcW w:w="1765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</w:tcPr>
          <w:p w14:paraId="575991D5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w="588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</w:tcPr>
          <w:p w14:paraId="223C7451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b/>
                <w:color w:val="FFFFFF"/>
                <w:sz w:val="20"/>
              </w:rPr>
              <w:t>Nota</w:t>
            </w:r>
          </w:p>
        </w:tc>
        <w:tc>
          <w:tcPr>
            <w:tcW w:w="882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</w:tcPr>
          <w:p w14:paraId="04471C66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w="1765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</w:tcPr>
          <w:p w14:paraId="371927C8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b/>
                <w:color w:val="FFFFFF"/>
                <w:sz w:val="20"/>
              </w:rPr>
              <w:t>Situação</w:t>
            </w:r>
          </w:p>
        </w:tc>
      </w:tr>
      <w:tr w:rsidR="00BB0B43" w14:paraId="1E0EFBFC" w14:textId="77777777" w:rsidTr="00BC7235"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239A4C0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Endividamento (% da RCL)</w:t>
            </w:r>
          </w:p>
        </w:tc>
        <w:tc>
          <w:tcPr>
            <w:tcW w:w="5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872243B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4"/>
              </w:rPr>
              <w:t>A</w:t>
            </w:r>
          </w:p>
        </w:tc>
        <w:tc>
          <w:tcPr>
            <w:tcW w:w="88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DE4B40B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30,85%</w:t>
            </w:r>
          </w:p>
        </w:tc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DBBDD9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i/>
                <w:color w:val="6B7280"/>
                <w:sz w:val="18"/>
              </w:rPr>
              <w:t>Para nota A: &lt; 60% (espaço de R$ 11,4 bi)</w:t>
            </w:r>
          </w:p>
        </w:tc>
      </w:tr>
      <w:tr w:rsidR="00BB0B43" w14:paraId="7F7F99D5" w14:textId="77777777" w:rsidTr="00BC7235"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E5B755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Poupança Corrente (Despesa/Receita)</w:t>
            </w:r>
          </w:p>
        </w:tc>
        <w:tc>
          <w:tcPr>
            <w:tcW w:w="5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AB707F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4"/>
              </w:rPr>
              <w:t>C</w:t>
            </w:r>
          </w:p>
        </w:tc>
        <w:tc>
          <w:tcPr>
            <w:tcW w:w="88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AB9E255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95,27%</w:t>
            </w:r>
          </w:p>
        </w:tc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2C888F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i/>
                <w:color w:val="6B7280"/>
                <w:sz w:val="18"/>
              </w:rPr>
              <w:t>Para nota B: &lt; 95%</w:t>
            </w:r>
          </w:p>
        </w:tc>
      </w:tr>
      <w:tr w:rsidR="00BB0B43" w14:paraId="1737C7A2" w14:textId="77777777" w:rsidTr="00BC7235"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D3D6FF2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Liquidez Relativa (Dívida/RCL)</w:t>
            </w:r>
          </w:p>
        </w:tc>
        <w:tc>
          <w:tcPr>
            <w:tcW w:w="5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8FC8297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4"/>
              </w:rPr>
              <w:t>B</w:t>
            </w:r>
          </w:p>
        </w:tc>
        <w:tc>
          <w:tcPr>
            <w:tcW w:w="88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A2A8F0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1,01%</w:t>
            </w:r>
          </w:p>
        </w:tc>
        <w:tc>
          <w:tcPr>
            <w:tcW w:w="176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DBD0363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i/>
                <w:color w:val="6B7280"/>
                <w:sz w:val="18"/>
              </w:rPr>
              <w:t>Para nota A: ≥ 5%</w:t>
            </w:r>
          </w:p>
        </w:tc>
      </w:tr>
    </w:tbl>
    <w:p w14:paraId="51F23D16" w14:textId="77777777" w:rsidR="00BB0B43" w:rsidRDefault="00000000" w:rsidP="009816A9">
      <w:pPr>
        <w:jc w:val="both"/>
      </w:pPr>
      <w:r>
        <w:rPr>
          <w:i/>
          <w:color w:val="6B7280"/>
          <w:sz w:val="18"/>
        </w:rPr>
        <w:t>Fonte: Tesouro Nacional / Tesouro Transparente — CAPAG dos Estados (publicação anual).</w:t>
      </w:r>
    </w:p>
    <w:p w14:paraId="1C982793" w14:textId="77777777" w:rsidR="00BC7235" w:rsidRDefault="00BC7235" w:rsidP="009816A9">
      <w:pPr>
        <w:jc w:val="both"/>
        <w:rPr>
          <w:b/>
        </w:rPr>
      </w:pPr>
    </w:p>
    <w:p w14:paraId="041C0733" w14:textId="77777777" w:rsidR="00BC7235" w:rsidRDefault="00BC7235" w:rsidP="009816A9">
      <w:pPr>
        <w:jc w:val="both"/>
        <w:rPr>
          <w:b/>
        </w:rPr>
      </w:pPr>
    </w:p>
    <w:p w14:paraId="05A67FDC" w14:textId="1433038D" w:rsidR="00BB0B43" w:rsidRDefault="00000000" w:rsidP="009816A9">
      <w:pPr>
        <w:jc w:val="both"/>
      </w:pPr>
      <w:r>
        <w:rPr>
          <w:b/>
        </w:rPr>
        <w:lastRenderedPageBreak/>
        <w:t>Histórico (2018–2025):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15"/>
        <w:gridCol w:w="2301"/>
        <w:gridCol w:w="2300"/>
        <w:gridCol w:w="1972"/>
        <w:gridCol w:w="2300"/>
      </w:tblGrid>
      <w:tr w:rsidR="00BB0B43" w14:paraId="3033605D" w14:textId="77777777" w:rsidTr="00BC7235">
        <w:tc>
          <w:tcPr>
            <w:tcW w:w="645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5F83BFEF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18"/>
              </w:rPr>
              <w:t>Ano</w:t>
            </w:r>
          </w:p>
        </w:tc>
        <w:tc>
          <w:tcPr>
            <w:tcW w:w="1129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5C6729AF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18"/>
              </w:rPr>
              <w:t>Endividamento</w:t>
            </w:r>
          </w:p>
        </w:tc>
        <w:tc>
          <w:tcPr>
            <w:tcW w:w="1129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7CB7140F" w14:textId="540990BC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18"/>
              </w:rPr>
              <w:t>Poup</w:t>
            </w:r>
            <w:r w:rsidR="00BC7235">
              <w:rPr>
                <w:b/>
                <w:color w:val="FFFFFF"/>
                <w:sz w:val="18"/>
              </w:rPr>
              <w:t>ança</w:t>
            </w:r>
            <w:r>
              <w:rPr>
                <w:b/>
                <w:color w:val="FFFFFF"/>
                <w:sz w:val="18"/>
              </w:rPr>
              <w:t xml:space="preserve"> Corrente</w:t>
            </w:r>
          </w:p>
        </w:tc>
        <w:tc>
          <w:tcPr>
            <w:tcW w:w="968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16897C76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18"/>
              </w:rPr>
              <w:t>Liquidez</w:t>
            </w:r>
          </w:p>
        </w:tc>
        <w:tc>
          <w:tcPr>
            <w:tcW w:w="1129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33787BD5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18"/>
              </w:rPr>
              <w:t>Consolidado</w:t>
            </w:r>
          </w:p>
        </w:tc>
      </w:tr>
      <w:tr w:rsidR="00BB0B43" w14:paraId="47E9B886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E049C4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2018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1EC87D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A233AF5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499C7A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A8C6AC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 w:rsidR="00BB0B43" w14:paraId="397486EC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C58D128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65CDBA0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36258C6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EF480FD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5055AA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 w:rsidR="00BB0B43" w14:paraId="37186EC8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668F10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2F3D64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F709D9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E597E7F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A56982B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 w:rsidR="00BB0B43" w14:paraId="19F69424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F5EBB3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041B8B3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45784F0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C93EA3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18C2F1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 w:rsidR="00BB0B43" w14:paraId="6E338533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39DF150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D3F416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EBE221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F2E42B0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CC149A9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 w:rsidR="00BB0B43" w14:paraId="6BC5EAA5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989E73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A7731C5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9BD2CC7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96BC2C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61D43F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 w:rsidR="00BB0B43" w14:paraId="63A0A1B4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2C79C73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EC9BFD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CD09F2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A774A8D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D73EEE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 w:rsidR="00BB0B43" w14:paraId="463C036B" w14:textId="77777777" w:rsidTr="00BC7235">
        <w:tc>
          <w:tcPr>
            <w:tcW w:w="64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468606B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2025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3479D2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D65729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w="96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7E9908D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w="112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65B439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</w:tbl>
    <w:p w14:paraId="075BEF60" w14:textId="77777777" w:rsidR="00BB0B43" w:rsidRDefault="00000000" w:rsidP="009816A9">
      <w:pPr>
        <w:jc w:val="both"/>
      </w:pPr>
      <w:r>
        <w:rPr>
          <w:i/>
          <w:color w:val="6B7280"/>
          <w:sz w:val="18"/>
        </w:rPr>
        <w:t>Fonte: Tesouro Nacional / Tesouro Transparente — CAPAG dos Estados (publicações anuais 2018–2025).</w:t>
      </w:r>
    </w:p>
    <w:p w14:paraId="6F3BE5DC" w14:textId="411432B6" w:rsidR="00BB0B43" w:rsidRDefault="00000000" w:rsidP="009816A9">
      <w:pPr>
        <w:jc w:val="both"/>
      </w:pPr>
      <w:r>
        <w:t xml:space="preserve">O DF estava na nota B (2021–2023) e voltou à C em 2024 após deterioração da poupança corrente. O indicador de Endividamento é o ponto forte: com 30,85% da RCL (limite para A é 60%), há </w:t>
      </w:r>
      <w:r w:rsidR="00BC7235">
        <w:t xml:space="preserve">teoricamente </w:t>
      </w:r>
      <w:r>
        <w:t>espaço de mais de R$ 11 bi</w:t>
      </w:r>
      <w:r w:rsidR="00BC7235">
        <w:t>lhões</w:t>
      </w:r>
      <w:r>
        <w:t xml:space="preserve"> em dívida — que, porém, não pode ser contratada com garantia da União enquanto a classificação consolidada não melhorar.</w:t>
      </w:r>
    </w:p>
    <w:p w14:paraId="32F22D4F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Disponibilidade de Caixa</w:t>
      </w:r>
    </w:p>
    <w:p w14:paraId="0FC1032C" w14:textId="77777777" w:rsidR="00BB0B43" w:rsidRDefault="00000000" w:rsidP="009816A9">
      <w:pPr>
        <w:jc w:val="both"/>
      </w:pPr>
      <w:r>
        <w:t>A disponibilidade de caixa líquida (após inscrição em Restos a Pagar não processados) é o indicador que melhor sintetiza a folga financeira de curto prazo. A evolução é preocupante: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74"/>
        <w:gridCol w:w="4458"/>
        <w:gridCol w:w="4456"/>
      </w:tblGrid>
      <w:tr w:rsidR="00BB0B43" w14:paraId="31EDCA96" w14:textId="77777777" w:rsidTr="00BC7235">
        <w:tc>
          <w:tcPr>
            <w:tcW w:w="625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6B04C38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Ano</w:t>
            </w:r>
          </w:p>
        </w:tc>
        <w:tc>
          <w:tcPr>
            <w:tcW w:w="2188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30CD9A10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Caixa líquido (após RPNP)</w:t>
            </w:r>
          </w:p>
        </w:tc>
        <w:tc>
          <w:tcPr>
            <w:tcW w:w="2187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5A9C1C1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Rec. não vinculados</w:t>
            </w:r>
          </w:p>
        </w:tc>
      </w:tr>
      <w:tr w:rsidR="00BB0B43" w14:paraId="27E34B8F" w14:textId="77777777" w:rsidTr="00BC7235">
        <w:tc>
          <w:tcPr>
            <w:tcW w:w="62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A81B37D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CCF7177" w14:textId="0CC55E72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R$ 1,92 bi</w:t>
            </w:r>
            <w:r w:rsidR="00BC7235">
              <w:rPr>
                <w:sz w:val="20"/>
              </w:rPr>
              <w:t>lhão</w:t>
            </w:r>
          </w:p>
        </w:tc>
        <w:tc>
          <w:tcPr>
            <w:tcW w:w="21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D40BEC5" w14:textId="45EAC291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 xml:space="preserve">R$ 917 </w:t>
            </w:r>
            <w:r w:rsidR="00BC7235">
              <w:rPr>
                <w:sz w:val="20"/>
              </w:rPr>
              <w:t>milhões</w:t>
            </w:r>
          </w:p>
        </w:tc>
      </w:tr>
      <w:tr w:rsidR="00BB0B43" w14:paraId="6104B24D" w14:textId="77777777" w:rsidTr="00BC7235">
        <w:tc>
          <w:tcPr>
            <w:tcW w:w="62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5D66512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CF03F41" w14:textId="407B6DA0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R$ 1,58 bi</w:t>
            </w:r>
            <w:r w:rsidR="00BC7235">
              <w:rPr>
                <w:sz w:val="20"/>
              </w:rPr>
              <w:t>lhão</w:t>
            </w:r>
          </w:p>
        </w:tc>
        <w:tc>
          <w:tcPr>
            <w:tcW w:w="21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7B760AD" w14:textId="720C891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0392B"/>
                <w:sz w:val="20"/>
              </w:rPr>
              <w:t xml:space="preserve">R$ -65 </w:t>
            </w:r>
            <w:r w:rsidR="00BC7235" w:rsidRPr="00BC7235">
              <w:rPr>
                <w:color w:val="C0392B"/>
                <w:sz w:val="20"/>
              </w:rPr>
              <w:t>milhões</w:t>
            </w:r>
          </w:p>
        </w:tc>
      </w:tr>
      <w:tr w:rsidR="00BB0B43" w14:paraId="65939A94" w14:textId="77777777" w:rsidTr="00BC7235">
        <w:tc>
          <w:tcPr>
            <w:tcW w:w="62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C390B9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37D7A1E" w14:textId="4E30A47E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R$ 2,90 bi</w:t>
            </w:r>
            <w:r w:rsidR="00BC7235">
              <w:rPr>
                <w:sz w:val="20"/>
              </w:rPr>
              <w:t>lhões</w:t>
            </w:r>
          </w:p>
        </w:tc>
        <w:tc>
          <w:tcPr>
            <w:tcW w:w="21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FC28C76" w14:textId="0C5479B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 xml:space="preserve">R$ 415 </w:t>
            </w:r>
            <w:r w:rsidR="00BC7235">
              <w:rPr>
                <w:sz w:val="20"/>
              </w:rPr>
              <w:t>milhões</w:t>
            </w:r>
          </w:p>
        </w:tc>
      </w:tr>
      <w:tr w:rsidR="00BB0B43" w14:paraId="68A3DC2E" w14:textId="77777777" w:rsidTr="00BC7235">
        <w:tc>
          <w:tcPr>
            <w:tcW w:w="62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A9E0897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BBC671D" w14:textId="4EFA1CAB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R$ 1,87 bi</w:t>
            </w:r>
            <w:r w:rsidR="00BC7235">
              <w:rPr>
                <w:sz w:val="20"/>
              </w:rPr>
              <w:t>lhão</w:t>
            </w:r>
          </w:p>
        </w:tc>
        <w:tc>
          <w:tcPr>
            <w:tcW w:w="21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5CCB0B5" w14:textId="7277B2B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0392B"/>
                <w:sz w:val="20"/>
              </w:rPr>
              <w:t xml:space="preserve">R$ -645 </w:t>
            </w:r>
            <w:r w:rsidR="00BC7235" w:rsidRPr="00BC7235">
              <w:rPr>
                <w:color w:val="C0392B"/>
                <w:sz w:val="20"/>
              </w:rPr>
              <w:t>milhões</w:t>
            </w:r>
          </w:p>
        </w:tc>
      </w:tr>
      <w:tr w:rsidR="00BB0B43" w14:paraId="1DB1547C" w14:textId="77777777" w:rsidTr="00BC7235">
        <w:tc>
          <w:tcPr>
            <w:tcW w:w="62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142B50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2025</w:t>
            </w:r>
          </w:p>
        </w:tc>
        <w:tc>
          <w:tcPr>
            <w:tcW w:w="218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72822CA" w14:textId="1BB4206B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R$ 570 mi</w:t>
            </w:r>
            <w:r w:rsidR="00BC7235">
              <w:rPr>
                <w:sz w:val="20"/>
              </w:rPr>
              <w:t>lhões</w:t>
            </w:r>
          </w:p>
        </w:tc>
        <w:tc>
          <w:tcPr>
            <w:tcW w:w="218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9CB776C" w14:textId="0112AFC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0392B"/>
                <w:sz w:val="20"/>
              </w:rPr>
              <w:t xml:space="preserve">R$ -877 </w:t>
            </w:r>
            <w:r w:rsidR="00BC7235" w:rsidRPr="00BC7235">
              <w:rPr>
                <w:color w:val="C0392B"/>
                <w:sz w:val="20"/>
              </w:rPr>
              <w:t>milhões</w:t>
            </w:r>
          </w:p>
        </w:tc>
      </w:tr>
    </w:tbl>
    <w:p w14:paraId="3702E241" w14:textId="44EE19D1" w:rsidR="00BB0B43" w:rsidRDefault="00000000" w:rsidP="009816A9">
      <w:pPr>
        <w:jc w:val="both"/>
      </w:pPr>
      <w:r>
        <w:rPr>
          <w:i/>
          <w:color w:val="6B7280"/>
          <w:sz w:val="18"/>
        </w:rPr>
        <w:t>Fonte: RGF – Poder Executivo – 3º quadrimestre de cada exercício (2021 a 2025).</w:t>
      </w:r>
    </w:p>
    <w:p w14:paraId="39C40461" w14:textId="15CB5476" w:rsidR="00BB0B43" w:rsidRDefault="00000000" w:rsidP="009816A9">
      <w:pPr>
        <w:jc w:val="both"/>
      </w:pPr>
      <w:r>
        <w:t>O caixa líquido caiu de R$ 1,9 bi</w:t>
      </w:r>
      <w:r w:rsidR="00BC7235">
        <w:t>lhão</w:t>
      </w:r>
      <w:r>
        <w:t xml:space="preserve"> em 2021 para R$ 570 mi</w:t>
      </w:r>
      <w:r w:rsidR="00BC7235">
        <w:t>lhões</w:t>
      </w:r>
      <w:r>
        <w:t xml:space="preserve"> em 2025 — queda de cerca de 70%. Mais grave: o saldo de recursos não vinculados (a parte </w:t>
      </w:r>
      <w:r w:rsidR="00BC7235">
        <w:t>livre</w:t>
      </w:r>
      <w:r>
        <w:t xml:space="preserve"> do caixa) está negativo em R$ -877 mi</w:t>
      </w:r>
      <w:r w:rsidR="00BC7235">
        <w:t>lhões</w:t>
      </w:r>
      <w:r>
        <w:t>.</w:t>
      </w:r>
      <w:r w:rsidR="00BC7235">
        <w:t xml:space="preserve"> Na prática, o DF não dispõe hoje de um colchão de liquidez para fazer frente a eventuais choques e necessidades emergenciais de caixa.</w:t>
      </w:r>
    </w:p>
    <w:p w14:paraId="0FDB2B1C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lastRenderedPageBreak/>
        <w:t>Despesa com Pessoal e LRF</w:t>
      </w:r>
    </w:p>
    <w:p w14:paraId="48658E20" w14:textId="55AF8CE8" w:rsidR="00BB0B43" w:rsidRDefault="00000000" w:rsidP="009816A9">
      <w:pPr>
        <w:jc w:val="both"/>
      </w:pPr>
      <w:r>
        <w:t>A despesa total com pessoal do Poder Executivo está em 41,5% da RCL ajustada — abaixo dos limites de alerta (44,1%) e prudencial (46,55%), mas com margem estreita. Os patamares legais e o espaço fiscal disponível são: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96"/>
        <w:gridCol w:w="3397"/>
        <w:gridCol w:w="3395"/>
      </w:tblGrid>
      <w:tr w:rsidR="00BB0B43" w14:paraId="36AA1373" w14:textId="77777777" w:rsidTr="00BC7235">
        <w:tc>
          <w:tcPr>
            <w:tcW w:w="1667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7B0A3218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Limite</w:t>
            </w:r>
          </w:p>
        </w:tc>
        <w:tc>
          <w:tcPr>
            <w:tcW w:w="1667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5130C61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% da RCL</w:t>
            </w:r>
          </w:p>
        </w:tc>
        <w:tc>
          <w:tcPr>
            <w:tcW w:w="1667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572B640C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Espaço fiscal</w:t>
            </w:r>
          </w:p>
        </w:tc>
      </w:tr>
      <w:tr w:rsidR="00BB0B43" w14:paraId="065F9AB1" w14:textId="77777777" w:rsidTr="00BC7235"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B8FC9E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b/>
                <w:sz w:val="20"/>
              </w:rPr>
              <w:t>Atual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4C00B13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41,5%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6758AE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—</w:t>
            </w:r>
          </w:p>
        </w:tc>
      </w:tr>
      <w:tr w:rsidR="00BB0B43" w14:paraId="7511A85D" w14:textId="77777777" w:rsidTr="00BC7235"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BE1DB1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Alerta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485DB47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47A10"/>
                <w:sz w:val="20"/>
              </w:rPr>
              <w:t>44,1%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E3A13AC" w14:textId="40630E3B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R$ 1,0 bi</w:t>
            </w:r>
            <w:r w:rsidR="00BC7235">
              <w:rPr>
                <w:sz w:val="20"/>
              </w:rPr>
              <w:t>lhão</w:t>
            </w:r>
          </w:p>
        </w:tc>
      </w:tr>
      <w:tr w:rsidR="00BB0B43" w14:paraId="764F9A13" w14:textId="77777777" w:rsidTr="00BC7235"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174F3CB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Prudencial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EB97DE6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47A10"/>
                <w:sz w:val="20"/>
              </w:rPr>
              <w:t>46,5%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D1FC182" w14:textId="05FE5D5C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R$ 2,0 bi</w:t>
            </w:r>
            <w:r w:rsidR="00BC7235">
              <w:rPr>
                <w:sz w:val="20"/>
              </w:rPr>
              <w:t>lhões</w:t>
            </w:r>
          </w:p>
        </w:tc>
      </w:tr>
      <w:tr w:rsidR="00BB0B43" w14:paraId="55C93EB6" w14:textId="77777777" w:rsidTr="00BC7235"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6D6C2DC" w14:textId="77777777" w:rsidR="00BB0B43" w:rsidRDefault="00000000" w:rsidP="00BC7235">
            <w:pPr>
              <w:spacing w:before="120" w:after="120" w:line="240" w:lineRule="auto"/>
              <w:jc w:val="both"/>
            </w:pPr>
            <w:r>
              <w:rPr>
                <w:sz w:val="20"/>
              </w:rPr>
              <w:t>Máximo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7FE6AC8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color w:val="C0392B"/>
                <w:sz w:val="20"/>
              </w:rPr>
              <w:t>49,0%</w:t>
            </w:r>
          </w:p>
        </w:tc>
        <w:tc>
          <w:tcPr>
            <w:tcW w:w="16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65353F8" w14:textId="315EB025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sz w:val="20"/>
              </w:rPr>
              <w:t>R$ 3,0 bi</w:t>
            </w:r>
            <w:r w:rsidR="00BC7235">
              <w:rPr>
                <w:sz w:val="20"/>
              </w:rPr>
              <w:t>lhões</w:t>
            </w:r>
          </w:p>
        </w:tc>
      </w:tr>
    </w:tbl>
    <w:p w14:paraId="2477C25B" w14:textId="0E02577D" w:rsidR="00BB0B43" w:rsidRDefault="00000000" w:rsidP="009816A9">
      <w:pPr>
        <w:jc w:val="both"/>
      </w:pPr>
      <w:r>
        <w:rPr>
          <w:i/>
          <w:color w:val="6B7280"/>
          <w:sz w:val="18"/>
        </w:rPr>
        <w:t>Fonte: RGF – Poder Executivo – 3º quadrimestre de 2025.</w:t>
      </w:r>
    </w:p>
    <w:p w14:paraId="2A557FCD" w14:textId="77777777" w:rsidR="00BB0B43" w:rsidRDefault="00000000" w:rsidP="009816A9">
      <w:pPr>
        <w:jc w:val="both"/>
      </w:pPr>
      <w:r w:rsidRPr="00BC7235">
        <w:t>Embora o DF esteja dentro dos limites da LRF, qualquer movimento de ampliação relevante da folha (reajustes, novos concursos) precisa ser examinado à luz dessa margem cada vez mais estreita.</w:t>
      </w:r>
    </w:p>
    <w:p w14:paraId="0B073792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Benefícios Tributários</w:t>
      </w:r>
    </w:p>
    <w:p w14:paraId="2EEB925D" w14:textId="3D0ABF86" w:rsidR="00BB0B43" w:rsidRDefault="00BC7235" w:rsidP="009816A9">
      <w:pPr>
        <w:jc w:val="both"/>
      </w:pPr>
      <w:r>
        <w:t xml:space="preserve">Segundo o </w:t>
      </w:r>
      <w:proofErr w:type="spellStart"/>
      <w:r>
        <w:t>Beneficiômetro</w:t>
      </w:r>
      <w:proofErr w:type="spellEnd"/>
      <w:r>
        <w:t xml:space="preserve"> da Secretaria de Economia do DF, o valor total de benefícios tributários concedidos pelo DF em 2025 foi de R$ 13,4 bilhões, o que equivale a 57% da receita realizada de impostos no exercício (R$ 23,4 bilhões). É um volume expressivo, com implicações fiscais diretas: cada ponto percentual a menos de benefício pode liberar centenas de milhões de reais para outras finalidades (caixa, investimento, pessoal).</w:t>
      </w:r>
    </w:p>
    <w:p w14:paraId="1E5AC7B7" w14:textId="77777777" w:rsidR="00BB0B43" w:rsidRDefault="00000000" w:rsidP="009816A9">
      <w:pPr>
        <w:jc w:val="both"/>
      </w:pPr>
      <w:r>
        <w:t>Os principais campos de atenção:</w:t>
      </w:r>
    </w:p>
    <w:p w14:paraId="1BAC675D" w14:textId="77777777" w:rsidR="00BB0B43" w:rsidRDefault="00000000" w:rsidP="009816A9">
      <w:pPr>
        <w:pStyle w:val="Commarcadores"/>
        <w:jc w:val="both"/>
      </w:pPr>
      <w:r>
        <w:t>ICMS representa ~85% das renúncias — foco para revisão prioritária</w:t>
      </w:r>
    </w:p>
    <w:p w14:paraId="400610E2" w14:textId="6C3E716A" w:rsidR="00BB0B43" w:rsidRDefault="00BC7235" w:rsidP="009816A9">
      <w:pPr>
        <w:pStyle w:val="Commarcadores"/>
        <w:jc w:val="both"/>
      </w:pPr>
      <w:r>
        <w:t>Eventual ausência de governança formal sobre prazos, contrapartidas e metas de cada benefício</w:t>
      </w:r>
    </w:p>
    <w:p w14:paraId="43C28D7C" w14:textId="77777777" w:rsidR="00BB0B43" w:rsidRDefault="00000000" w:rsidP="009816A9">
      <w:pPr>
        <w:pStyle w:val="Commarcadores"/>
        <w:jc w:val="both"/>
      </w:pPr>
      <w:r>
        <w:t>Necessidade de avaliação periódica de custo-benefício por desoneração</w:t>
      </w:r>
    </w:p>
    <w:p w14:paraId="35F83756" w14:textId="379BB339" w:rsidR="00BC7235" w:rsidRDefault="00BC7235" w:rsidP="009816A9">
      <w:pPr>
        <w:pStyle w:val="Commarcadores"/>
        <w:jc w:val="both"/>
      </w:pPr>
      <w:r>
        <w:t>Impactos da reforma tributária sobre esse cenário</w:t>
      </w:r>
    </w:p>
    <w:p w14:paraId="2A17D202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Parcerias Público-Privadas</w:t>
      </w:r>
    </w:p>
    <w:p w14:paraId="6EE05A4F" w14:textId="686681FC" w:rsidR="00BB0B43" w:rsidRDefault="00000000" w:rsidP="009816A9">
      <w:pPr>
        <w:jc w:val="both"/>
      </w:pPr>
      <w:r>
        <w:t>O comprometimento da RCL com PPPs em 2025 é de 0,23% (R$ 91 mi</w:t>
      </w:r>
      <w:r w:rsidR="00BC7235">
        <w:t>lhões</w:t>
      </w:r>
      <w:r>
        <w:t>). A projeção indica um pico de 3,16% em 2026 (R$ 1</w:t>
      </w:r>
      <w:r w:rsidR="00BC7235">
        <w:t>,3</w:t>
      </w:r>
      <w:r>
        <w:t xml:space="preserve"> bi</w:t>
      </w:r>
      <w:r w:rsidR="00BC7235">
        <w:t>lhões</w:t>
      </w:r>
      <w:r>
        <w:t>), ainda dentro do limite legal de 5% da RCL (Lei 11.079/2004) — mas com pouca margem se novas PPPs forem contratadas sem ajustes compensatórios.</w:t>
      </w:r>
    </w:p>
    <w:p w14:paraId="78A62244" w14:textId="77777777" w:rsidR="00BB0B43" w:rsidRDefault="00000000" w:rsidP="009816A9">
      <w:pPr>
        <w:jc w:val="both"/>
      </w:pPr>
      <w:r>
        <w:rPr>
          <w:b/>
        </w:rPr>
        <w:t>Carteira de projetos: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03"/>
        <w:gridCol w:w="3185"/>
      </w:tblGrid>
      <w:tr w:rsidR="00BB0B43" w14:paraId="2E05583C" w14:textId="77777777" w:rsidTr="00BC7235">
        <w:tc>
          <w:tcPr>
            <w:tcW w:w="3437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187D8A15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w="1563" w:type="pct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  <w:shd w:val="clear" w:color="auto" w:fill="2E7D32"/>
            <w:vAlign w:val="center"/>
          </w:tcPr>
          <w:p w14:paraId="23271961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 w:rsidR="00BB0B43" w14:paraId="70E30DD0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E16BFE7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Prestação dos serviços de iluminação pública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9CCCD0B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2E7D32"/>
                <w:sz w:val="20"/>
              </w:rPr>
              <w:t>Contratada</w:t>
            </w:r>
          </w:p>
        </w:tc>
      </w:tr>
      <w:tr w:rsidR="00BB0B43" w14:paraId="18E2C04C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195D734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Nova Saída Norte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C6DBC6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73D9E2E9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4DF7F2A8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lastRenderedPageBreak/>
              <w:t>Avenida das Cidades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C250913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67B669F1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8E2E9A7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Gestão do Aterro Sanitário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42A597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0A93EEDD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C0B223C" w14:textId="77777777" w:rsidR="00BB0B43" w:rsidRDefault="00000000" w:rsidP="00BC7235">
            <w:pPr>
              <w:spacing w:before="120" w:after="120" w:line="240" w:lineRule="auto"/>
            </w:pPr>
            <w:proofErr w:type="spellStart"/>
            <w:r>
              <w:rPr>
                <w:sz w:val="20"/>
              </w:rPr>
              <w:t>Ecoparques</w:t>
            </w:r>
            <w:proofErr w:type="spellEnd"/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22D2FE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7B9F1048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83F595E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Logística de Medicamentos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154571E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1810E36B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0409A10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Rede de Apoio de Diagnóstico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9630DAF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561637EB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AF1487A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Transporte Metroviário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75764A88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5EC7F7E8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D6C1D98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VLT na W3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7B8274A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62BB8D4A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87E57B3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Processamento de roupas — Saúde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61F72E64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1A5FA6"/>
                <w:sz w:val="20"/>
              </w:rPr>
              <w:t>A contratar</w:t>
            </w:r>
          </w:p>
        </w:tc>
      </w:tr>
      <w:tr w:rsidR="00BB0B43" w14:paraId="0642437C" w14:textId="77777777" w:rsidTr="00BC7235">
        <w:tc>
          <w:tcPr>
            <w:tcW w:w="343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0283D5A" w14:textId="77777777" w:rsidR="00BB0B43" w:rsidRDefault="00000000" w:rsidP="00BC7235">
            <w:pPr>
              <w:spacing w:before="120" w:after="120" w:line="240" w:lineRule="auto"/>
            </w:pPr>
            <w:r>
              <w:rPr>
                <w:sz w:val="20"/>
              </w:rPr>
              <w:t>BRT Sul e Oeste</w:t>
            </w:r>
          </w:p>
        </w:tc>
        <w:tc>
          <w:tcPr>
            <w:tcW w:w="1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32C68DFF" w14:textId="77777777" w:rsidR="00BB0B43" w:rsidRDefault="00000000" w:rsidP="00BC7235">
            <w:pPr>
              <w:spacing w:before="120" w:after="120" w:line="240" w:lineRule="auto"/>
              <w:jc w:val="center"/>
            </w:pPr>
            <w:r>
              <w:rPr>
                <w:b/>
                <w:color w:val="C47A10"/>
                <w:sz w:val="20"/>
              </w:rPr>
              <w:t>Suspenso</w:t>
            </w:r>
          </w:p>
        </w:tc>
      </w:tr>
    </w:tbl>
    <w:p w14:paraId="3723A957" w14:textId="41C8DE8C" w:rsidR="00BB0B43" w:rsidRDefault="00000000" w:rsidP="009816A9">
      <w:pPr>
        <w:jc w:val="both"/>
      </w:pPr>
      <w:r>
        <w:rPr>
          <w:i/>
          <w:color w:val="6B7280"/>
          <w:sz w:val="18"/>
        </w:rPr>
        <w:t>Fonte: Demonstrativo das Parcerias Público-Privadas do RREO – 6º bimestre de 2025.</w:t>
      </w:r>
    </w:p>
    <w:p w14:paraId="7E94EAC2" w14:textId="77777777" w:rsidR="00BB0B43" w:rsidRDefault="00000000" w:rsidP="009816A9">
      <w:pPr>
        <w:pStyle w:val="Ttulo1"/>
        <w:jc w:val="both"/>
      </w:pPr>
      <w:r>
        <w:rPr>
          <w:color w:val="2E7D32"/>
          <w:sz w:val="32"/>
        </w:rPr>
        <w:t>Agenda de Recuperação Fiscal</w:t>
      </w:r>
    </w:p>
    <w:p w14:paraId="45B90E4D" w14:textId="77777777" w:rsidR="00D964D2" w:rsidRPr="00E34799" w:rsidRDefault="00D964D2" w:rsidP="00D964D2">
      <w:pPr>
        <w:spacing w:after="160" w:line="360" w:lineRule="auto"/>
        <w:rPr>
          <w:b/>
          <w:bCs/>
          <w:color w:val="2E7D32"/>
        </w:rPr>
      </w:pPr>
      <w:r w:rsidRPr="00E34799">
        <w:rPr>
          <w:b/>
          <w:bCs/>
          <w:color w:val="2E7D32"/>
        </w:rPr>
        <w:t>Eixo 1 — Qualidade do gasto e revisão de despesas</w:t>
      </w:r>
    </w:p>
    <w:p w14:paraId="676674A4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Objetivo:</w:t>
      </w:r>
      <w:r w:rsidRPr="00114E35">
        <w:t xml:space="preserve"> reduzir despesas de baixa prioridade, aumentar a eficiência do gasto público e abrir espaço fiscal permanente para investimentos e serviços essenciais.</w:t>
      </w:r>
    </w:p>
    <w:p w14:paraId="60959B28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Propostas:</w:t>
      </w:r>
    </w:p>
    <w:p w14:paraId="666E36BB" w14:textId="77777777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>Cortar, no início do governo, 30% das despesas com contratos administrativos não essenciais</w:t>
      </w:r>
      <w:r w:rsidRPr="00114E35">
        <w:t>, com revisão posterior dos casos que demonstrem risco à continuidade de serviços públicos essenciais.</w:t>
      </w:r>
    </w:p>
    <w:p w14:paraId="2D367EAC" w14:textId="77777777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>Revisar, nos primeiros 180 dias, os contratos que concentrem ao menos 80% da despesa contratual do GDF</w:t>
      </w:r>
      <w:r w:rsidRPr="00114E35">
        <w:t>, com foco em aluguéis, terceirização, manutenção, tecnologia, vigilância, limpeza e serviços continuados.</w:t>
      </w:r>
    </w:p>
    <w:p w14:paraId="1EA6650D" w14:textId="3BFBEF25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 xml:space="preserve">Reduzir em </w:t>
      </w:r>
      <w:r>
        <w:rPr>
          <w:b/>
          <w:bCs/>
        </w:rPr>
        <w:t xml:space="preserve">pelo menos </w:t>
      </w:r>
      <w:r w:rsidRPr="00114E35">
        <w:rPr>
          <w:b/>
          <w:bCs/>
        </w:rPr>
        <w:t>30% o gasto com aluguéis administrativos</w:t>
      </w:r>
      <w:r w:rsidRPr="00114E35">
        <w:t>, por meio de renegociação, devolução de imóveis subutilizados, compartilhamento de espaços e uso de imóveis próprios.</w:t>
      </w:r>
    </w:p>
    <w:p w14:paraId="707F7205" w14:textId="13A18D7E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>Criar p</w:t>
      </w:r>
      <w:r>
        <w:rPr>
          <w:b/>
          <w:bCs/>
        </w:rPr>
        <w:t xml:space="preserve">olítica </w:t>
      </w:r>
      <w:r w:rsidRPr="00114E35">
        <w:rPr>
          <w:b/>
          <w:bCs/>
        </w:rPr>
        <w:t>permanente de revisão de gastos</w:t>
      </w:r>
      <w:r w:rsidRPr="00114E35">
        <w:t xml:space="preserve">, com avaliação anual de despesas, contratos e programas equivalentes a pelo menos </w:t>
      </w:r>
      <w:r w:rsidRPr="00114E35">
        <w:rPr>
          <w:b/>
          <w:bCs/>
        </w:rPr>
        <w:t>2</w:t>
      </w:r>
      <w:r>
        <w:rPr>
          <w:b/>
          <w:bCs/>
        </w:rPr>
        <w:t>5</w:t>
      </w:r>
      <w:r w:rsidRPr="00114E35">
        <w:rPr>
          <w:b/>
          <w:bCs/>
        </w:rPr>
        <w:t>% da despesa primária</w:t>
      </w:r>
      <w:r w:rsidRPr="00114E35">
        <w:t>.</w:t>
      </w:r>
    </w:p>
    <w:p w14:paraId="644622E6" w14:textId="6D78D1E3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>Avaliar a efetividade dos principais programas públicos do GDF</w:t>
      </w:r>
      <w:r w:rsidRPr="00114E35">
        <w:t xml:space="preserve">, com meta de </w:t>
      </w:r>
      <w:r>
        <w:t>analisar</w:t>
      </w:r>
      <w:r w:rsidRPr="00114E35">
        <w:t xml:space="preserve">, a cada ano, ao menos </w:t>
      </w:r>
      <w:r w:rsidRPr="00114E35">
        <w:rPr>
          <w:b/>
          <w:bCs/>
        </w:rPr>
        <w:t>10 programas ou políticas relevantes</w:t>
      </w:r>
      <w:r w:rsidRPr="00114E35">
        <w:t>, indicando manutenção, redesenho, ampliação ou encerramento.</w:t>
      </w:r>
    </w:p>
    <w:p w14:paraId="71B5BFC6" w14:textId="77777777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lastRenderedPageBreak/>
        <w:t>Redesenhar programas sociais com baixa cobertura, baixa focalização ou sobreposição</w:t>
      </w:r>
      <w:r w:rsidRPr="00114E35">
        <w:t>, com meta de ampliar a cobertura efetiva dos públicos prioritários sem crescimento automático da despesa.</w:t>
      </w:r>
    </w:p>
    <w:p w14:paraId="648AF02F" w14:textId="77777777" w:rsidR="00D964D2" w:rsidRPr="00114E35" w:rsidRDefault="00D964D2" w:rsidP="00D964D2">
      <w:pPr>
        <w:numPr>
          <w:ilvl w:val="0"/>
          <w:numId w:val="21"/>
        </w:numPr>
        <w:spacing w:after="160" w:line="360" w:lineRule="auto"/>
      </w:pPr>
      <w:r w:rsidRPr="00114E35">
        <w:rPr>
          <w:b/>
          <w:bCs/>
        </w:rPr>
        <w:t>Instituir plano plurianual de gestão de precatórios e passivos judiciais</w:t>
      </w:r>
      <w:r w:rsidRPr="00114E35">
        <w:t>, com metas anuais de pagamento, negociação, prevenção de novos passivos e redução do estoque.</w:t>
      </w:r>
    </w:p>
    <w:p w14:paraId="7DFA7377" w14:textId="77777777" w:rsidR="00D964D2" w:rsidRPr="00E34799" w:rsidRDefault="00D964D2" w:rsidP="00D964D2">
      <w:pPr>
        <w:spacing w:after="160" w:line="360" w:lineRule="auto"/>
        <w:rPr>
          <w:b/>
          <w:bCs/>
          <w:color w:val="2E7D32"/>
        </w:rPr>
      </w:pPr>
      <w:r w:rsidRPr="00E34799">
        <w:rPr>
          <w:b/>
          <w:bCs/>
          <w:color w:val="2E7D32"/>
        </w:rPr>
        <w:t>Eixo 2 — Receita, benefícios tributários e justiça fiscal</w:t>
      </w:r>
    </w:p>
    <w:p w14:paraId="0C2C874E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Objetivo:</w:t>
      </w:r>
      <w:r w:rsidRPr="00114E35">
        <w:t xml:space="preserve"> recuperar receita própria, reduzir renúncias fiscais ineficientes e manter apenas benefícios tributários com retorno econômico, social ou fiscal comprovado.</w:t>
      </w:r>
    </w:p>
    <w:p w14:paraId="234F848B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Propostas:</w:t>
      </w:r>
    </w:p>
    <w:p w14:paraId="3C9C8DBB" w14:textId="57AA8BE3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Reduzir em 30%, no início do governo, os benefícios tributários vigentes</w:t>
      </w:r>
      <w:r w:rsidRPr="00114E35">
        <w:t>, preservados apenas os casos com impedimento legal específico ou risco econômico relevante.</w:t>
      </w:r>
    </w:p>
    <w:p w14:paraId="5CF6127A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Auditar, no primeiro ano, 100% dos benefícios fiscais vigentes</w:t>
      </w:r>
      <w:r w:rsidRPr="00114E35">
        <w:t>, com identificação de custo fiscal, beneficiários, base legal, prazo de vigência, contrapartidas e resultados.</w:t>
      </w:r>
    </w:p>
    <w:p w14:paraId="672FC076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Exigir, em até 90 dias, comprovação do cumprimento das contrapartidas</w:t>
      </w:r>
      <w:r w:rsidRPr="00114E35">
        <w:t xml:space="preserve"> pelos beneficiários de incentivos fiscais.</w:t>
      </w:r>
    </w:p>
    <w:p w14:paraId="2DF76F85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Suspender, revisar ou extinguir benefícios fiscais sem comprovação objetiva de retorno</w:t>
      </w:r>
      <w:r w:rsidRPr="00114E35">
        <w:t>, observados o devido processo legal e a segurança jurídica.</w:t>
      </w:r>
    </w:p>
    <w:p w14:paraId="087E1670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Vedar a concessão ou ampliação de benefícios fiscais sem estimativa de impacto, prazo determinado, metas verificáveis e mecanismo de avaliação periódica.</w:t>
      </w:r>
    </w:p>
    <w:p w14:paraId="682F8759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Criar política permanente de governança dos benefícios tributários</w:t>
      </w:r>
      <w:r w:rsidRPr="00114E35">
        <w:t>, com regras para concessão, renovação, monitoramento, transparência e avaliação de resultados.</w:t>
      </w:r>
    </w:p>
    <w:p w14:paraId="0268582C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Atualizar o cadastro imobiliário e revisar a base de cálculo do IPTU</w:t>
      </w:r>
      <w:r w:rsidRPr="00114E35">
        <w:t xml:space="preserve">, com meta de concluir o recadastramento dos imóveis em até </w:t>
      </w:r>
      <w:r w:rsidRPr="00114E35">
        <w:rPr>
          <w:b/>
          <w:bCs/>
        </w:rPr>
        <w:t>24 meses</w:t>
      </w:r>
      <w:r w:rsidRPr="00114E35">
        <w:t>, transição gradual e proteção a famílias de baixa renda.</w:t>
      </w:r>
    </w:p>
    <w:p w14:paraId="780B469B" w14:textId="77777777" w:rsidR="00D964D2" w:rsidRPr="00114E35" w:rsidRDefault="00D964D2" w:rsidP="00D964D2">
      <w:pPr>
        <w:numPr>
          <w:ilvl w:val="0"/>
          <w:numId w:val="22"/>
        </w:numPr>
        <w:spacing w:after="160" w:line="360" w:lineRule="auto"/>
      </w:pPr>
      <w:r w:rsidRPr="00114E35">
        <w:rPr>
          <w:b/>
          <w:bCs/>
        </w:rPr>
        <w:t>Ampliar o uso de inteligência fiscal e cruzamento de bases de dados</w:t>
      </w:r>
      <w:r w:rsidRPr="00114E35">
        <w:t>, com meta de aumentar a arrecadação própria sem elevação geral de alíquotas.</w:t>
      </w:r>
    </w:p>
    <w:p w14:paraId="22121903" w14:textId="77777777" w:rsidR="00D964D2" w:rsidRPr="00E34799" w:rsidRDefault="00D964D2" w:rsidP="00D964D2">
      <w:pPr>
        <w:spacing w:after="160" w:line="360" w:lineRule="auto"/>
        <w:rPr>
          <w:b/>
          <w:bCs/>
          <w:color w:val="2E7D32"/>
        </w:rPr>
      </w:pPr>
      <w:r w:rsidRPr="00E34799">
        <w:rPr>
          <w:b/>
          <w:bCs/>
          <w:color w:val="2E7D32"/>
        </w:rPr>
        <w:t>Eixo 3 — Gestão de pessoal e estrutura administrativa</w:t>
      </w:r>
    </w:p>
    <w:p w14:paraId="2B563D97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Objetivo:</w:t>
      </w:r>
      <w:r w:rsidRPr="00114E35">
        <w:t xml:space="preserve"> conter a expansão do gasto corrente, racionalizar a estrutura administrativa e reduzir despesas permanentes sem comprometer a capacidade de entrega do Estado.</w:t>
      </w:r>
    </w:p>
    <w:p w14:paraId="268597DC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lastRenderedPageBreak/>
        <w:t>Propostas:</w:t>
      </w:r>
    </w:p>
    <w:p w14:paraId="6E1F89C4" w14:textId="77777777" w:rsidR="00D964D2" w:rsidRPr="00114E35" w:rsidRDefault="00D964D2" w:rsidP="00D964D2">
      <w:pPr>
        <w:numPr>
          <w:ilvl w:val="0"/>
          <w:numId w:val="23"/>
        </w:numPr>
        <w:spacing w:after="160" w:line="360" w:lineRule="auto"/>
      </w:pPr>
      <w:r w:rsidRPr="00114E35">
        <w:rPr>
          <w:b/>
          <w:bCs/>
        </w:rPr>
        <w:t>Bloquear, no início do governo, 30% dos cargos comissionados e funções de confiança</w:t>
      </w:r>
      <w:r w:rsidRPr="00114E35">
        <w:t>, com liberação posterior apenas mediante justificativa de necessidade, vinculação a entregas e validação fiscal.</w:t>
      </w:r>
    </w:p>
    <w:p w14:paraId="4AF522E8" w14:textId="69AA7B92" w:rsidR="00D964D2" w:rsidRPr="00114E35" w:rsidRDefault="00D964D2" w:rsidP="00D964D2">
      <w:pPr>
        <w:numPr>
          <w:ilvl w:val="0"/>
          <w:numId w:val="23"/>
        </w:numPr>
        <w:spacing w:after="160" w:line="360" w:lineRule="auto"/>
      </w:pPr>
      <w:r w:rsidRPr="00114E35">
        <w:rPr>
          <w:b/>
          <w:bCs/>
        </w:rPr>
        <w:t>Reduzir o número de secretarias, órgãos e estruturas sobrepostas</w:t>
      </w:r>
      <w:r w:rsidRPr="00114E35">
        <w:t xml:space="preserve">, com meta de apresentar, nos primeiros </w:t>
      </w:r>
      <w:r w:rsidRPr="00D964D2">
        <w:rPr>
          <w:b/>
          <w:bCs/>
        </w:rPr>
        <w:t xml:space="preserve">30 </w:t>
      </w:r>
      <w:r w:rsidRPr="00114E35">
        <w:rPr>
          <w:b/>
          <w:bCs/>
        </w:rPr>
        <w:t>dias</w:t>
      </w:r>
      <w:r w:rsidRPr="00114E35">
        <w:t>, proposta de reorganização administrativa do GDF.</w:t>
      </w:r>
    </w:p>
    <w:p w14:paraId="3948FE1E" w14:textId="77777777" w:rsidR="00D964D2" w:rsidRPr="00114E35" w:rsidRDefault="00D964D2" w:rsidP="00D964D2">
      <w:pPr>
        <w:numPr>
          <w:ilvl w:val="0"/>
          <w:numId w:val="23"/>
        </w:numPr>
        <w:spacing w:after="160" w:line="360" w:lineRule="auto"/>
      </w:pPr>
      <w:r w:rsidRPr="00114E35">
        <w:rPr>
          <w:b/>
          <w:bCs/>
        </w:rPr>
        <w:t>Revisar a estrutura de autarquias, fundações, empresas públicas e órgãos equivalentes</w:t>
      </w:r>
      <w:r w:rsidRPr="00114E35">
        <w:t>, com foco na eliminação de duplicidades, redução de custos administrativos e melhoria da coordenação governamental.</w:t>
      </w:r>
    </w:p>
    <w:p w14:paraId="40498496" w14:textId="33CDE932" w:rsidR="00D964D2" w:rsidRPr="00114E35" w:rsidRDefault="00D964D2" w:rsidP="00D964D2">
      <w:pPr>
        <w:numPr>
          <w:ilvl w:val="0"/>
          <w:numId w:val="23"/>
        </w:numPr>
        <w:spacing w:after="160" w:line="360" w:lineRule="auto"/>
      </w:pPr>
      <w:r w:rsidRPr="00114E35">
        <w:rPr>
          <w:b/>
          <w:bCs/>
        </w:rPr>
        <w:t xml:space="preserve">Submeter toda nova despesa permanente a </w:t>
      </w:r>
      <w:r>
        <w:rPr>
          <w:b/>
          <w:bCs/>
        </w:rPr>
        <w:t>condição</w:t>
      </w:r>
      <w:r w:rsidRPr="00114E35">
        <w:rPr>
          <w:b/>
          <w:bCs/>
        </w:rPr>
        <w:t xml:space="preserve"> fiscal prévia</w:t>
      </w:r>
      <w:r w:rsidRPr="00114E35">
        <w:t>, vedando expansão de pessoal, gratificações, auxílios ou programas continuados sem estimativa de impacto para</w:t>
      </w:r>
      <w:r>
        <w:t xml:space="preserve"> os</w:t>
      </w:r>
      <w:r w:rsidRPr="00114E35">
        <w:t xml:space="preserve"> </w:t>
      </w:r>
      <w:r w:rsidRPr="00114E35">
        <w:rPr>
          <w:b/>
          <w:bCs/>
        </w:rPr>
        <w:t>4 anos</w:t>
      </w:r>
      <w:r>
        <w:rPr>
          <w:b/>
          <w:bCs/>
        </w:rPr>
        <w:t xml:space="preserve"> seguintes</w:t>
      </w:r>
      <w:r w:rsidRPr="00114E35">
        <w:t xml:space="preserve">, compensação fiscal efetiva e aprovação do </w:t>
      </w:r>
      <w:r w:rsidRPr="00D964D2">
        <w:rPr>
          <w:b/>
          <w:bCs/>
        </w:rPr>
        <w:t>Comitê de Governança Fiscal</w:t>
      </w:r>
      <w:r w:rsidRPr="00114E35">
        <w:t>.</w:t>
      </w:r>
    </w:p>
    <w:p w14:paraId="5F705777" w14:textId="77777777" w:rsidR="00D964D2" w:rsidRPr="00114E35" w:rsidRDefault="00D964D2" w:rsidP="00D964D2">
      <w:pPr>
        <w:numPr>
          <w:ilvl w:val="0"/>
          <w:numId w:val="23"/>
        </w:numPr>
        <w:spacing w:after="160" w:line="360" w:lineRule="auto"/>
      </w:pPr>
      <w:r w:rsidRPr="00114E35">
        <w:rPr>
          <w:b/>
          <w:bCs/>
        </w:rPr>
        <w:t>Revisar gratificações, auxílios e parcelas remuneratórias administrativas</w:t>
      </w:r>
      <w:r w:rsidRPr="00114E35">
        <w:t xml:space="preserve">, com meta de mapear </w:t>
      </w:r>
      <w:r w:rsidRPr="00114E35">
        <w:rPr>
          <w:b/>
          <w:bCs/>
        </w:rPr>
        <w:t>100% das rubricas no primeiro ano</w:t>
      </w:r>
      <w:r w:rsidRPr="00114E35">
        <w:t xml:space="preserve"> e propor racionalização das despesas sem justificativa funcional clara.</w:t>
      </w:r>
    </w:p>
    <w:p w14:paraId="20265F81" w14:textId="77777777" w:rsidR="00D964D2" w:rsidRPr="00E34799" w:rsidRDefault="00D964D2" w:rsidP="00D964D2">
      <w:pPr>
        <w:spacing w:after="160" w:line="360" w:lineRule="auto"/>
        <w:rPr>
          <w:b/>
          <w:bCs/>
          <w:color w:val="2E7D32"/>
        </w:rPr>
      </w:pPr>
      <w:r w:rsidRPr="00E34799">
        <w:rPr>
          <w:b/>
          <w:bCs/>
          <w:color w:val="2E7D32"/>
        </w:rPr>
        <w:t>Eixo 4 — Governança fiscal, investimento e endividamento responsável</w:t>
      </w:r>
    </w:p>
    <w:p w14:paraId="7B2A8CAF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Objetivo:</w:t>
      </w:r>
      <w:r w:rsidRPr="00114E35">
        <w:t xml:space="preserve"> reconstruir a sustentabilidade fiscal do DF, recuperar a capacidade de pagamento e elevar o investimento público de forma responsável.</w:t>
      </w:r>
    </w:p>
    <w:p w14:paraId="2A6417F3" w14:textId="77777777" w:rsidR="00D964D2" w:rsidRPr="00114E35" w:rsidRDefault="00D964D2" w:rsidP="00D964D2">
      <w:pPr>
        <w:spacing w:after="160" w:line="360" w:lineRule="auto"/>
      </w:pPr>
      <w:r w:rsidRPr="00114E35">
        <w:rPr>
          <w:b/>
          <w:bCs/>
        </w:rPr>
        <w:t>Propostas:</w:t>
      </w:r>
    </w:p>
    <w:p w14:paraId="5CF7A137" w14:textId="36293E6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>
        <w:rPr>
          <w:b/>
          <w:bCs/>
        </w:rPr>
        <w:t>Ampliar</w:t>
      </w:r>
      <w:r w:rsidRPr="00114E35">
        <w:rPr>
          <w:b/>
          <w:bCs/>
        </w:rPr>
        <w:t xml:space="preserve"> superávits correntes e recuperar a capacidade de pagamento do DF</w:t>
      </w:r>
      <w:r w:rsidRPr="00114E35">
        <w:t xml:space="preserve">, com meta de retornar à </w:t>
      </w:r>
      <w:r w:rsidRPr="00114E35">
        <w:rPr>
          <w:b/>
          <w:bCs/>
        </w:rPr>
        <w:t>CAPAG B ou superior</w:t>
      </w:r>
      <w:r w:rsidRPr="00114E35">
        <w:t xml:space="preserve"> ao longo do mandato.</w:t>
      </w:r>
    </w:p>
    <w:p w14:paraId="22F08FF4" w14:textId="110464CA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Elevar o investimento público como proporção da Receita Corrente Líquida</w:t>
      </w:r>
      <w:r w:rsidRPr="00114E35">
        <w:t xml:space="preserve">, com meta de </w:t>
      </w:r>
      <w:r>
        <w:t xml:space="preserve">colocar </w:t>
      </w:r>
      <w:r w:rsidRPr="00114E35">
        <w:t xml:space="preserve">o DF </w:t>
      </w:r>
      <w:r>
        <w:t xml:space="preserve">entre os cinco </w:t>
      </w:r>
      <w:r w:rsidRPr="00114E35">
        <w:t xml:space="preserve">estados </w:t>
      </w:r>
      <w:r>
        <w:t xml:space="preserve">que mais investem </w:t>
      </w:r>
      <w:r w:rsidRPr="00114E35">
        <w:t>até o fim do mandato.</w:t>
      </w:r>
    </w:p>
    <w:p w14:paraId="01CF365F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Adotar metas fiscais plurianuais</w:t>
      </w:r>
      <w:r w:rsidRPr="00114E35">
        <w:t xml:space="preserve">, com horizonte mínimo de </w:t>
      </w:r>
      <w:r w:rsidRPr="00114E35">
        <w:rPr>
          <w:b/>
          <w:bCs/>
        </w:rPr>
        <w:t>4 anos</w:t>
      </w:r>
      <w:r w:rsidRPr="00114E35">
        <w:t>, abrangendo resultado corrente, resultado primário, dívida, caixa, pessoal, investimento, precatórios e compromissos com PPPs.</w:t>
      </w:r>
    </w:p>
    <w:p w14:paraId="05658CDE" w14:textId="5B6976A4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 xml:space="preserve">Criar Comitê </w:t>
      </w:r>
      <w:r>
        <w:rPr>
          <w:b/>
          <w:bCs/>
        </w:rPr>
        <w:t>de Governança</w:t>
      </w:r>
      <w:r w:rsidRPr="00114E35">
        <w:rPr>
          <w:b/>
          <w:bCs/>
        </w:rPr>
        <w:t xml:space="preserve"> Fiscal</w:t>
      </w:r>
      <w:r w:rsidRPr="00114E35">
        <w:t>, responsável por monitorar riscos fiscais, avaliar metas, propor medidas corretivas, validar expansão de despesas permanentes e acompanhar a carteira de investimentos</w:t>
      </w:r>
      <w:r>
        <w:t xml:space="preserve"> estratégicos</w:t>
      </w:r>
      <w:r w:rsidRPr="00114E35">
        <w:t>.</w:t>
      </w:r>
    </w:p>
    <w:p w14:paraId="7707B426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lastRenderedPageBreak/>
        <w:t>Manter a dívida consolidada abaixo de limite prudencial de 60% da RCL</w:t>
      </w:r>
      <w:r w:rsidRPr="00114E35">
        <w:t>, com avaliação prévia de impacto sobre juros, amortizações, capacidade de pagamento e espaço fiscal futuro.</w:t>
      </w:r>
    </w:p>
    <w:p w14:paraId="7D9712D2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Criar carteira plurianual de investimentos prioritários</w:t>
      </w:r>
      <w:r w:rsidRPr="00114E35">
        <w:t>, com custo total, fonte de financiamento, cronograma, estágio de maturidade, impacto esperado e órgão responsável.</w:t>
      </w:r>
    </w:p>
    <w:p w14:paraId="27B9F202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Publicar relatório trimestral de acompanhamento dos investimentos estratégicos</w:t>
      </w:r>
      <w:r w:rsidRPr="00114E35">
        <w:t>, com execução física, execução financeira, entraves, revisão de cronograma e medidas corretivas.</w:t>
      </w:r>
    </w:p>
    <w:p w14:paraId="238609F9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Monitorar os compromissos futuros com PPPs</w:t>
      </w:r>
      <w:r w:rsidRPr="00114E35">
        <w:t xml:space="preserve">, preservando margem fiscal em relação ao limite legal de </w:t>
      </w:r>
      <w:r w:rsidRPr="00114E35">
        <w:rPr>
          <w:b/>
          <w:bCs/>
        </w:rPr>
        <w:t>5% da RCL</w:t>
      </w:r>
      <w:r w:rsidRPr="00114E35">
        <w:t xml:space="preserve"> e evitando que contratos de longo prazo comprimam o orçamento corrente.</w:t>
      </w:r>
    </w:p>
    <w:p w14:paraId="683967BA" w14:textId="77777777" w:rsidR="00D964D2" w:rsidRPr="00114E35" w:rsidRDefault="00D964D2" w:rsidP="00D964D2">
      <w:pPr>
        <w:numPr>
          <w:ilvl w:val="0"/>
          <w:numId w:val="24"/>
        </w:numPr>
        <w:spacing w:after="160" w:line="360" w:lineRule="auto"/>
      </w:pPr>
      <w:r w:rsidRPr="00114E35">
        <w:rPr>
          <w:b/>
          <w:bCs/>
        </w:rPr>
        <w:t>Integrar o FCDF ao planejamento fiscal de médio prazo do DF</w:t>
      </w:r>
      <w:r w:rsidRPr="00114E35">
        <w:t>, com demonstrativo específico de receitas, despesas, riscos e impactos sobre saúde, educação e segurança pública.</w:t>
      </w:r>
    </w:p>
    <w:p w14:paraId="029764C7" w14:textId="77777777" w:rsidR="00D964D2" w:rsidRDefault="00D964D2" w:rsidP="009816A9">
      <w:pPr>
        <w:jc w:val="both"/>
      </w:pPr>
    </w:p>
    <w:sectPr w:rsidR="00D964D2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6B4E33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BE3156"/>
    <w:multiLevelType w:val="hybridMultilevel"/>
    <w:tmpl w:val="416E95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1C0162"/>
    <w:multiLevelType w:val="multilevel"/>
    <w:tmpl w:val="824E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D693F"/>
    <w:multiLevelType w:val="multilevel"/>
    <w:tmpl w:val="A61A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27088C"/>
    <w:multiLevelType w:val="hybridMultilevel"/>
    <w:tmpl w:val="374267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5430E1"/>
    <w:multiLevelType w:val="hybridMultilevel"/>
    <w:tmpl w:val="C854B7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0D15E2"/>
    <w:multiLevelType w:val="hybridMultilevel"/>
    <w:tmpl w:val="730402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3C17F7"/>
    <w:multiLevelType w:val="hybridMultilevel"/>
    <w:tmpl w:val="486006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C42ABD"/>
    <w:multiLevelType w:val="hybridMultilevel"/>
    <w:tmpl w:val="ADE25F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E475B"/>
    <w:multiLevelType w:val="hybridMultilevel"/>
    <w:tmpl w:val="416E95F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335D5C"/>
    <w:multiLevelType w:val="hybridMultilevel"/>
    <w:tmpl w:val="A3FED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392021"/>
    <w:multiLevelType w:val="multilevel"/>
    <w:tmpl w:val="7D7A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176C38"/>
    <w:multiLevelType w:val="multilevel"/>
    <w:tmpl w:val="E6D4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D14523"/>
    <w:multiLevelType w:val="multilevel"/>
    <w:tmpl w:val="00C6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553568">
    <w:abstractNumId w:val="8"/>
  </w:num>
  <w:num w:numId="2" w16cid:durableId="579802038">
    <w:abstractNumId w:val="6"/>
  </w:num>
  <w:num w:numId="3" w16cid:durableId="79647563">
    <w:abstractNumId w:val="5"/>
  </w:num>
  <w:num w:numId="4" w16cid:durableId="2060784043">
    <w:abstractNumId w:val="4"/>
  </w:num>
  <w:num w:numId="5" w16cid:durableId="1383403770">
    <w:abstractNumId w:val="7"/>
  </w:num>
  <w:num w:numId="6" w16cid:durableId="95905819">
    <w:abstractNumId w:val="3"/>
  </w:num>
  <w:num w:numId="7" w16cid:durableId="1375274486">
    <w:abstractNumId w:val="2"/>
  </w:num>
  <w:num w:numId="8" w16cid:durableId="872114882">
    <w:abstractNumId w:val="1"/>
  </w:num>
  <w:num w:numId="9" w16cid:durableId="1579439007">
    <w:abstractNumId w:val="0"/>
  </w:num>
  <w:num w:numId="10" w16cid:durableId="1817334984">
    <w:abstractNumId w:val="15"/>
  </w:num>
  <w:num w:numId="11" w16cid:durableId="419371764">
    <w:abstractNumId w:val="12"/>
  </w:num>
  <w:num w:numId="12" w16cid:durableId="1961451607">
    <w:abstractNumId w:val="8"/>
  </w:num>
  <w:num w:numId="13" w16cid:durableId="46759136">
    <w:abstractNumId w:val="17"/>
  </w:num>
  <w:num w:numId="14" w16cid:durableId="637339560">
    <w:abstractNumId w:val="18"/>
  </w:num>
  <w:num w:numId="15" w16cid:durableId="1572615707">
    <w:abstractNumId w:val="8"/>
  </w:num>
  <w:num w:numId="16" w16cid:durableId="1770930486">
    <w:abstractNumId w:val="9"/>
  </w:num>
  <w:num w:numId="17" w16cid:durableId="1499034910">
    <w:abstractNumId w:val="10"/>
  </w:num>
  <w:num w:numId="18" w16cid:durableId="1407922000">
    <w:abstractNumId w:val="14"/>
  </w:num>
  <w:num w:numId="19" w16cid:durableId="898634648">
    <w:abstractNumId w:val="16"/>
  </w:num>
  <w:num w:numId="20" w16cid:durableId="730881118">
    <w:abstractNumId w:val="13"/>
  </w:num>
  <w:num w:numId="21" w16cid:durableId="1148013529">
    <w:abstractNumId w:val="11"/>
  </w:num>
  <w:num w:numId="22" w16cid:durableId="2014064905">
    <w:abstractNumId w:val="21"/>
  </w:num>
  <w:num w:numId="23" w16cid:durableId="238095700">
    <w:abstractNumId w:val="19"/>
  </w:num>
  <w:num w:numId="24" w16cid:durableId="8200773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C10"/>
    <w:rsid w:val="0015074B"/>
    <w:rsid w:val="0029639D"/>
    <w:rsid w:val="00326F90"/>
    <w:rsid w:val="00365945"/>
    <w:rsid w:val="004D622C"/>
    <w:rsid w:val="00534EC1"/>
    <w:rsid w:val="005A57B4"/>
    <w:rsid w:val="00691706"/>
    <w:rsid w:val="00750FA3"/>
    <w:rsid w:val="00807186"/>
    <w:rsid w:val="009816A9"/>
    <w:rsid w:val="00996D25"/>
    <w:rsid w:val="009A0446"/>
    <w:rsid w:val="00AA1D8D"/>
    <w:rsid w:val="00B47730"/>
    <w:rsid w:val="00BB0B43"/>
    <w:rsid w:val="00BC7235"/>
    <w:rsid w:val="00C10032"/>
    <w:rsid w:val="00CA32A1"/>
    <w:rsid w:val="00CB0664"/>
    <w:rsid w:val="00CD30E7"/>
    <w:rsid w:val="00D124C5"/>
    <w:rsid w:val="00D65537"/>
    <w:rsid w:val="00D964D2"/>
    <w:rsid w:val="00E34799"/>
    <w:rsid w:val="00E87D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7AD431"/>
  <w14:defaultImageDpi w14:val="300"/>
  <w15:docId w15:val="{0A6CDCA8-E536-4D33-AE81-B99BB3632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8</Pages>
  <Words>2255</Words>
  <Characters>12182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Veloso Couri</cp:lastModifiedBy>
  <cp:revision>8</cp:revision>
  <dcterms:created xsi:type="dcterms:W3CDTF">2013-12-23T23:15:00Z</dcterms:created>
  <dcterms:modified xsi:type="dcterms:W3CDTF">2026-05-14T21:01:00Z</dcterms:modified>
  <cp:category/>
</cp:coreProperties>
</file>