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Panorama Fiscal do Distrito Federal</w:t>
      </w:r>
    </w:p>
    <w:p>
      <w:pPr>
        <w:jc w:val="center"/>
      </w:pPr>
      <w:r>
        <w:rPr>
          <w:i/>
          <w:color w:val="2E7D32"/>
          <w:sz w:val="28"/>
        </w:rPr>
        <w:t>Relatório Executivo</w:t>
      </w:r>
    </w:p>
    <w:p>
      <w:pPr>
        <w:jc w:val="center"/>
      </w:pPr>
      <w:r>
        <w:rPr>
          <w:color w:val="6B7280"/>
          <w:sz w:val="20"/>
        </w:rPr>
        <w:t>Atualização: 14/05/2026</w:t>
      </w:r>
    </w:p>
    <w:p/>
    <w:p>
      <w:pPr>
        <w:pStyle w:val="Heading1"/>
      </w:pPr>
      <w:r>
        <w:rPr>
          <w:color w:val="2E7D32"/>
          <w:sz w:val="32"/>
        </w:rPr>
        <w:t>Sumário Executivo</w:t>
      </w:r>
    </w:p>
    <w:p>
      <w:r>
        <w:rPr>
          <w:b w:val="0"/>
          <w:i w:val="0"/>
          <w:sz w:val="22"/>
        </w:rPr>
        <w:t>O orçamento do Distrito Federal em 2026 é de R$ 44,1 bi (dotação atualizada própria, RREO – 1º bimestre de 2026) acrescido de R$ 28,4 bi do Fundo Constitucional (FCDF, dotação atualizada 2026 segundo o Portal da Transparência da União), totalizando R$ 72,5 bi para fazer frente às despesas do exercício. Apesar do volume de recursos, o DF apresenta um quadro fiscal preocupante.</w:t>
      </w:r>
    </w:p>
    <w:p>
      <w:r>
        <w:rPr>
          <w:b w:val="0"/>
          <w:i w:val="0"/>
          <w:sz w:val="22"/>
        </w:rPr>
        <w:t>A nota CAPAG consolidada do DF é “C”, classificação que impede a contratação de operações de crédito com garantia da União. O pior indicador é o de Poupança Corrente (95,27% — limite para “B” é 95%), refletindo que praticamente toda a receita corrente é consumida pela despesa corrente, sem margem para investir. A disponibilidade de caixa líquida (após inscrição em Restos a Pagar) caiu de R$ 1,9 bi em 2021 para R$ 570 mi em 2025 (RGF – Poder Executivo – 3º quadrimestre de 2025, Anexo 05), com recursos não vinculados negativos em R$ -877 mi.</w:t>
      </w:r>
    </w:p>
    <w:p>
      <w:r>
        <w:rPr>
          <w:b w:val="0"/>
          <w:i w:val="0"/>
          <w:sz w:val="22"/>
        </w:rPr>
        <w:t>A taxa de investimento sobre a RCL é de 4,7%, posicionando o DF em 20º lugar entre as 27 unidades da federação. Para alcançar a média nacional (8,4%) seriam necessários R$ 1,5 bi/ano adicionais; para o nível do líder (Piauí, 17,0%), R$ 4,8 bi/ano. A despesa com pessoal está em 41,5% da RCL ajustada (RGF – Poder Executivo – 3º quadrimestre de 2025, Anexo 01) — dentro do limite legal, mas próxima do alerta (44,1%). Os benefícios tributários totalizam R$ 13,4 bi (dado da SEEC-DF), equivalente a 57% da receita realizada de impostos no ano (RREO – 6º bimestre de 2025, Anexo 01).</w:t>
      </w:r>
    </w:p>
    <w:p>
      <w:r>
        <w:rPr>
          <w:b w:val="0"/>
          <w:i w:val="0"/>
          <w:sz w:val="22"/>
        </w:rPr>
        <w:t>A combinação desses sinais aponta para a necessidade urgente de uma agenda de recuperação fiscal sustentada em três eixos: (i) revisão do gasto direto; (ii) governança dos incentivos tributários; e (iii) reconstrução da poupança corrente e fortalecimento da governança fiscal.</w:t>
      </w:r>
    </w:p>
    <w:p/>
    <w:p>
      <w:pPr>
        <w:pStyle w:val="Heading1"/>
      </w:pPr>
      <w:r>
        <w:rPr>
          <w:color w:val="2E7D32"/>
          <w:sz w:val="32"/>
        </w:rPr>
        <w:t>Indicadores em destaque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B5E20"/>
            <w:tcBorders>
              <w:top w:val="single" w:sz="4" w:color="1B5E20"/>
              <w:left w:val="single" w:sz="4" w:color="1B5E20"/>
              <w:bottom w:val="single" w:sz="4" w:color="1B5E20"/>
              <w:right w:val="single" w:sz="4" w:color="1B5E20"/>
            </w:tcBorders>
          </w:tcPr>
          <w:p>
            <w:r/>
            <w:r>
              <w:rPr>
                <w:b/>
                <w:color w:val="FFFFFF"/>
                <w:sz w:val="22"/>
              </w:rPr>
              <w:t>Indicador</w:t>
            </w:r>
          </w:p>
        </w:tc>
        <w:tc>
          <w:tcPr>
            <w:tcW w:type="dxa" w:w="5102"/>
            <w:shd w:val="clear" w:color="auto" w:fill="1B5E20"/>
            <w:tcBorders>
              <w:top w:val="single" w:sz="4" w:color="1B5E20"/>
              <w:left w:val="single" w:sz="4" w:color="1B5E20"/>
              <w:bottom w:val="single" w:sz="4" w:color="1B5E20"/>
              <w:right w:val="single" w:sz="4" w:color="1B5E20"/>
            </w:tcBorders>
          </w:tcPr>
          <w:p>
            <w:r/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2"/>
              </w:rPr>
              <w:t>Orçamento DF (próprio)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5FA6"/>
                <w:sz w:val="26"/>
              </w:rPr>
              <w:t>R$ 44,1 bi</w:t>
            </w:r>
          </w:p>
          <w:p>
            <w:r>
              <w:rPr>
                <w:i/>
                <w:color w:val="6B7280"/>
                <w:sz w:val="18"/>
              </w:rPr>
              <w:t>Dotação atualizada 2026 (RREO 1º bim)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2"/>
              </w:rPr>
              <w:t>FCDF (Fundo Constitucional)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5FA6"/>
                <w:sz w:val="26"/>
              </w:rPr>
              <w:t>R$ 28,4 bi</w:t>
            </w:r>
          </w:p>
          <w:p>
            <w:r>
              <w:rPr>
                <w:i/>
                <w:color w:val="6B7280"/>
                <w:sz w:val="18"/>
              </w:rPr>
              <w:t>Dotação atualizada 2026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2"/>
              </w:rPr>
              <w:t>Investimento / RCL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47A10"/>
                <w:sz w:val="26"/>
              </w:rPr>
              <w:t>4,7%</w:t>
            </w:r>
          </w:p>
          <w:p>
            <w:r>
              <w:rPr>
                <w:i/>
                <w:color w:val="6B7280"/>
                <w:sz w:val="18"/>
              </w:rPr>
              <w:t>20º lugar no Brasil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2"/>
              </w:rPr>
              <w:t>Nota CAPAG consolidada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0392B"/>
                <w:sz w:val="26"/>
              </w:rPr>
              <w:t>C</w:t>
            </w:r>
          </w:p>
          <w:p>
            <w:r>
              <w:rPr>
                <w:i/>
                <w:color w:val="6B7280"/>
                <w:sz w:val="18"/>
              </w:rPr>
              <w:t>Pior indicador: poupança corrente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2"/>
              </w:rPr>
              <w:t>Disponibilidade de caixa líquida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0392B"/>
                <w:sz w:val="26"/>
              </w:rPr>
              <w:t>R$ 570 mi</w:t>
            </w:r>
          </w:p>
          <w:p>
            <w:r>
              <w:rPr>
                <w:i/>
                <w:color w:val="6B7280"/>
                <w:sz w:val="18"/>
              </w:rPr>
              <w:t>Disponibilidade líquida — dez/2025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2"/>
              </w:rPr>
              <w:t>Benefícios tributários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47A10"/>
                <w:sz w:val="26"/>
              </w:rPr>
              <w:t>R$ 13,4 bi</w:t>
            </w:r>
          </w:p>
          <w:p>
            <w:r>
              <w:rPr>
                <w:i/>
                <w:color w:val="6B7280"/>
                <w:sz w:val="18"/>
              </w:rPr>
              <w:t>57% da receita de impostos</w:t>
            </w:r>
          </w:p>
        </w:tc>
      </w:tr>
    </w:tbl>
    <w:p>
      <w:r>
        <w:rPr>
          <w:i/>
          <w:color w:val="6B7280"/>
          <w:sz w:val="18"/>
        </w:rPr>
        <w:t>Fonte: Orçamento DF: RREO – 1º bimestre de 2026, Anexo 01 (Balanço Orçamentário), linha "TOTAL DAS DESPESAS (XII) = (X + XI)", coluna DOTAÇÃO ATUALIZADA. FCDF: Portal da Transparência da União — órgão 25915. Investimento/RCL: cálculo a partir de RREO – 6º bimestre de 2025 (Anexo 01, linha INVESTIMENTOS) e RGF – Poder Executivo – 3º quadrimestre de 2025 (Anexo 01, RCL). CAPAG: Tesouro Transparente. Caixa: RGF – Poder Executivo – 3º quadrimestre de 2025, Anexo 05. Benefícios: Beneficiômetro SEEC-DF.</w:t>
      </w:r>
    </w:p>
    <w:p/>
    <w:p>
      <w:pPr>
        <w:pStyle w:val="Heading1"/>
      </w:pPr>
      <w:r>
        <w:rPr>
          <w:color w:val="2E7D32"/>
          <w:sz w:val="32"/>
        </w:rPr>
        <w:t>Investimento Público</w:t>
      </w:r>
    </w:p>
    <w:p>
      <w:r>
        <w:rPr>
          <w:b w:val="0"/>
          <w:i w:val="0"/>
          <w:sz w:val="22"/>
        </w:rPr>
        <w:t>A taxa de investimento sobre a RCL do DF (4,7% em 2025) o coloca em 20º lugar no ranking nacional, atrás da média BR (8,4%) e muito distante de estados como Piauí (17%), Espírito Santo (14,8%) e Maranhão (14%). Em termos absolutos, o investimento liquidado evoluiu de R$ 0,7 bi em 2021 para R$ 1,8 bi em 2025.</w:t>
      </w:r>
    </w:p>
    <w:p>
      <w:r>
        <w:rPr>
          <w:i/>
          <w:color w:val="6B7280"/>
          <w:sz w:val="18"/>
        </w:rPr>
        <w:t>Fonte: Investimento liquidado: RREO – 6º bimestre de 2025, Anexo 01, linha INVESTIMENTOS, coluna DESPESAS LIQUIDADAS ATÉ O BIMESTRE. RCL: RGF – Poder Executivo – 3º quadrimestre de 2025, Anexo 01, linha RECEITA CORRENTE LÍQUIDA (IV). Ranking entre UFs: SICONFI (compilação manual a partir do RREO do exercício).</w:t>
      </w:r>
    </w:p>
    <w:p>
      <w:r>
        <w:rPr>
          <w:b/>
          <w:i w:val="0"/>
          <w:sz w:val="22"/>
        </w:rPr>
        <w:t>Lacunas (gaps) para fechar:</w:t>
      </w:r>
    </w:p>
    <w:p>
      <w:pPr>
        <w:pStyle w:val="ListBullet"/>
      </w:pPr>
      <w:r>
        <w:rPr>
          <w:sz w:val="22"/>
        </w:rPr>
        <w:t>Para atingir a média nacional (8,4% da RCL): +R$ 1,5 bi/ano</w:t>
      </w:r>
    </w:p>
    <w:p>
      <w:pPr>
        <w:pStyle w:val="ListBullet"/>
      </w:pPr>
      <w:r>
        <w:rPr>
          <w:sz w:val="22"/>
        </w:rPr>
        <w:t>Para atingir o nível do líder Piauí (17% da RCL): +R$ 4,8 bi/ano</w:t>
      </w:r>
    </w:p>
    <w:p>
      <w:pPr>
        <w:pStyle w:val="ListBullet"/>
      </w:pPr>
      <w:r>
        <w:rPr>
          <w:sz w:val="22"/>
        </w:rPr>
        <w:t>Em termos per capita, o DF ocupa o 12º lugar no país</w:t>
      </w:r>
    </w:p>
    <w:p/>
    <w:p>
      <w:pPr>
        <w:pStyle w:val="Heading1"/>
      </w:pPr>
      <w:r>
        <w:rPr>
          <w:color w:val="2E7D32"/>
          <w:sz w:val="32"/>
        </w:rPr>
        <w:t>CAPAG — Capacidade de Pagamento</w:t>
      </w:r>
    </w:p>
    <w:p>
      <w:r>
        <w:rPr>
          <w:b w:val="0"/>
          <w:i w:val="0"/>
          <w:sz w:val="22"/>
        </w:rPr>
        <w:t>A nota CAPAG consolidada do DF é “C”, que restringe novas operações de crédito com garantia da União. A CAPAG é composta por três indicadores avaliados pelo Tesouro Nacional: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134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  <w:tc>
          <w:tcPr>
            <w:tcW w:type="dxa" w:w="1701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402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Situação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Endividamento (% da RCL)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4"/>
              </w:rPr>
              <w:t>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30,85%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i/>
                <w:color w:val="6B7280"/>
                <w:sz w:val="18"/>
              </w:rPr>
              <w:t>Para nota A: &lt; 60% (espaço de R$ 11,4 bi)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Poupança Corrente (Despesa/Receita)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4"/>
              </w:rPr>
              <w:t>C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95,27%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i/>
                <w:color w:val="6B7280"/>
                <w:sz w:val="18"/>
              </w:rPr>
              <w:t>Para nota B: &lt; 95%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Liquidez Relativa (Dívida/RCL)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4"/>
              </w:rPr>
              <w:t>B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1,01%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i/>
                <w:color w:val="6B7280"/>
                <w:sz w:val="18"/>
              </w:rPr>
              <w:t>Para nota A: ≥ 5%</w:t>
            </w:r>
          </w:p>
        </w:tc>
      </w:tr>
    </w:tbl>
    <w:p>
      <w:r>
        <w:rPr>
          <w:i/>
          <w:color w:val="6B7280"/>
          <w:sz w:val="18"/>
        </w:rPr>
        <w:t>Fonte: Tesouro Nacional / Tesouro Transparente — CAPAG dos Estados (publicação anual).</w:t>
      </w:r>
    </w:p>
    <w:p/>
    <w:p>
      <w:r>
        <w:rPr>
          <w:b/>
          <w:i w:val="0"/>
          <w:sz w:val="22"/>
        </w:rPr>
        <w:t>Histórico (2018–2025):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Ano</w:t>
            </w:r>
          </w:p>
        </w:tc>
        <w:tc>
          <w:tcPr>
            <w:tcW w:type="dxa" w:w="1984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Endividamento</w:t>
            </w:r>
          </w:p>
        </w:tc>
        <w:tc>
          <w:tcPr>
            <w:tcW w:type="dxa" w:w="1984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Poup. Corrente</w:t>
            </w:r>
          </w:p>
        </w:tc>
        <w:tc>
          <w:tcPr>
            <w:tcW w:type="dxa" w:w="1701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Liquidez</w:t>
            </w:r>
          </w:p>
        </w:tc>
        <w:tc>
          <w:tcPr>
            <w:tcW w:type="dxa" w:w="1984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Consolidado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2018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ND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ND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6B7280"/>
                <w:sz w:val="20"/>
              </w:rPr>
              <w:t>ND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47A10"/>
                <w:sz w:val="20"/>
              </w:rPr>
              <w:t>B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C</w:t>
            </w:r>
          </w:p>
        </w:tc>
      </w:tr>
    </w:tbl>
    <w:p>
      <w:r>
        <w:rPr>
          <w:i/>
          <w:color w:val="6B7280"/>
          <w:sz w:val="18"/>
        </w:rPr>
        <w:t>Fonte: Tesouro Nacional / Tesouro Transparente — CAPAG dos Estados (publicações anuais 2018–2025).</w:t>
      </w:r>
    </w:p>
    <w:p/>
    <w:p>
      <w:r>
        <w:rPr>
          <w:b w:val="0"/>
          <w:i w:val="0"/>
          <w:sz w:val="22"/>
        </w:rPr>
        <w:t>O DF estava na nota B (2021–2023) e voltou à C em 2024 após deterioração da poupança corrente. O indicador de Endividamento é o ponto forte: com 30,85% da RCL (limite para A é 60%), há espaço teórico de mais de R$ 11 bi em dívida — que, porém, não pode ser contratada com garantia da União enquanto a classificação consolidada não melhorar.</w:t>
      </w:r>
    </w:p>
    <w:p/>
    <w:p>
      <w:pPr>
        <w:pStyle w:val="Heading1"/>
      </w:pPr>
      <w:r>
        <w:rPr>
          <w:color w:val="2E7D32"/>
          <w:sz w:val="32"/>
        </w:rPr>
        <w:t>Disponibilidade de Caixa</w:t>
      </w:r>
    </w:p>
    <w:p>
      <w:r>
        <w:rPr>
          <w:b w:val="0"/>
          <w:i w:val="0"/>
          <w:sz w:val="22"/>
        </w:rPr>
        <w:t>A disponibilidade de caixa líquida (após inscrição em Restos a Pagar não processados) é o indicador que melhor sintetiza a folga financeira de curto prazo. A evolução é preocupante: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3969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Caixa líquido (após RPNP)</w:t>
            </w:r>
          </w:p>
        </w:tc>
        <w:tc>
          <w:tcPr>
            <w:tcW w:type="dxa" w:w="3969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Rec. não vinculados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R$ 1,92 bi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R$ 917 mi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R$ 1,58 bi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color w:val="C0392B"/>
                <w:sz w:val="20"/>
              </w:rPr>
              <w:t>R$ -65 mi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R$ 2,90 bi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R$ 415 mi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R$ 1,87 bi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color w:val="C0392B"/>
                <w:sz w:val="20"/>
              </w:rPr>
              <w:t>R$ -645 mi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sz w:val="20"/>
              </w:rPr>
              <w:t>R$ 570 mi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color w:val="C0392B"/>
                <w:sz w:val="20"/>
              </w:rPr>
              <w:t>R$ -877 mi</w:t>
            </w:r>
          </w:p>
        </w:tc>
      </w:tr>
    </w:tbl>
    <w:p>
      <w:r>
        <w:rPr>
          <w:i/>
          <w:color w:val="6B7280"/>
          <w:sz w:val="18"/>
        </w:rPr>
        <w:t>Fonte: RGF – Poder Executivo – 3º quadrimestre de cada exercício (2021 a 2025), Anexo 05 — Demonstrativo da Disponibilidade de Caixa e dos Restos a Pagar. Linha TOTAL (“IV = I+II+III” desde 2023, “III = I+II” em 2021-22) e linha TOTAL DOS RECURSOS NÃO VINCULADOS (I), coluna DISPONIBILIDADE DE CAIXA LÍQUIDA (APÓS A INSCRIÇÃO EM RESTOS A PAGAR NÃO PROCESSADOS DO EXERCÍCIO).</w:t>
      </w:r>
    </w:p>
    <w:p/>
    <w:p>
      <w:r>
        <w:rPr>
          <w:b w:val="0"/>
          <w:i w:val="0"/>
          <w:sz w:val="22"/>
        </w:rPr>
        <w:t>O caixa líquido caiu de R$ 1,9 bi em 2021 para R$ 570 mi em 2025 — queda de cerca de 70%. Mais grave: o saldo de recursos não vinculados (a parte discricionária do caixa) está negativo em R$ -877 mi, o que significa que o DF financia despesas discricionárias com recursos vinculados — prática que comprime ainda mais a capacidade de resposta a choques.</w:t>
      </w:r>
    </w:p>
    <w:p/>
    <w:p>
      <w:pPr>
        <w:pStyle w:val="Heading1"/>
      </w:pPr>
      <w:r>
        <w:rPr>
          <w:color w:val="2E7D32"/>
          <w:sz w:val="32"/>
        </w:rPr>
        <w:t>Despesa com Pessoal e LRF</w:t>
      </w:r>
    </w:p>
    <w:p>
      <w:r>
        <w:rPr>
          <w:b w:val="0"/>
          <w:i w:val="0"/>
          <w:sz w:val="22"/>
        </w:rPr>
        <w:t>A despesa total com pessoal do Poder Executivo está em 41,5% da RCL ajustada — abaixo dos limites de alerta (44,1%) e prudencial (46,55%), mas com margem estreita. Os patamares legais e o espaço fiscal disponível são: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Limite</w:t>
            </w:r>
          </w:p>
        </w:tc>
        <w:tc>
          <w:tcPr>
            <w:tcW w:type="dxa" w:w="1701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% da RCL</w:t>
            </w:r>
          </w:p>
        </w:tc>
        <w:tc>
          <w:tcPr>
            <w:tcW w:type="dxa" w:w="3969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Espaço fiscal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20"/>
              </w:rPr>
              <w:t>Atual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41,5%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20"/>
              </w:rPr>
              <w:t>Alerta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color w:val="C47A10"/>
                <w:sz w:val="20"/>
              </w:rPr>
              <w:t>44,1%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R$ 1,0 bi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20"/>
              </w:rPr>
              <w:t>Prudencial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color w:val="C47A10"/>
                <w:sz w:val="20"/>
              </w:rPr>
              <w:t>46,5%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R$ 2,0 bi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20"/>
              </w:rPr>
              <w:t>Máximo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color w:val="C0392B"/>
                <w:sz w:val="20"/>
              </w:rPr>
              <w:t>49,0%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R$ 3,0 bi</w:t>
            </w:r>
          </w:p>
        </w:tc>
      </w:tr>
    </w:tbl>
    <w:p>
      <w:r>
        <w:rPr>
          <w:i/>
          <w:color w:val="6B7280"/>
          <w:sz w:val="18"/>
        </w:rPr>
        <w:t>Fonte: RGF – Poder Executivo – 3º quadrimestre de 2025, Anexo 01 — Demonstrativo da Despesa com Pessoal. Linha DESPESA TOTAL COM PESSOAL – DTP (VI), coluna % SOBRE A RCL AJUSTADA.</w:t>
      </w:r>
    </w:p>
    <w:p/>
    <w:p>
      <w:r>
        <w:rPr>
          <w:b w:val="0"/>
          <w:i/>
          <w:color w:val="6B7280"/>
          <w:sz w:val="22"/>
        </w:rPr>
        <w:t>Embora o DF esteja dentro dos limites da LRF, qualquer movimento de ampliação relevante da folha (reajustes, novos concursos) precisa ser examinado à luz dessa margem cada vez mais estreita.</w:t>
      </w:r>
    </w:p>
    <w:p/>
    <w:p>
      <w:pPr>
        <w:pStyle w:val="Heading1"/>
      </w:pPr>
      <w:r>
        <w:rPr>
          <w:color w:val="2E7D32"/>
          <w:sz w:val="32"/>
        </w:rPr>
        <w:t>Benefícios Tributários</w:t>
      </w:r>
    </w:p>
    <w:p>
      <w:r>
        <w:rPr>
          <w:b w:val="0"/>
          <w:i w:val="0"/>
          <w:sz w:val="22"/>
        </w:rPr>
        <w:t>O valor total de benefícios tributários concedidos pelo DF em 2025 foi de R$ 13,4 bi (Beneficiômetro SEEC-DF), o que equivale a 57% da receita realizada de impostos no exercício (R$ 23,4 bi — RREO – 6º bimestre de 2025, Anexo 01, linha Impostos, coluna RECEITAS REALIZADAS ATÉ O BIMESTRE). É um volume expressivo, com implicações fiscais diretas: cada ponto percentual a menos de benefício pode liberar centenas de milhões de reais para outras finalidades (caixa, investimento, pessoal).</w:t>
      </w:r>
    </w:p>
    <w:p>
      <w:r>
        <w:rPr>
          <w:b w:val="0"/>
          <w:i w:val="0"/>
          <w:sz w:val="22"/>
        </w:rPr>
        <w:t>Os principais campos de atenção:</w:t>
      </w:r>
    </w:p>
    <w:p>
      <w:pPr>
        <w:pStyle w:val="ListBullet"/>
      </w:pPr>
      <w:r>
        <w:rPr>
          <w:sz w:val="22"/>
        </w:rPr>
        <w:t>ICMS representa ~85% das renúncias — foco para revisão prioritária</w:t>
      </w:r>
    </w:p>
    <w:p>
      <w:pPr>
        <w:pStyle w:val="ListBullet"/>
      </w:pPr>
      <w:r>
        <w:rPr>
          <w:sz w:val="22"/>
        </w:rPr>
        <w:t>Ausência de governança formal sobre prazos, contrapartidas e metas de cada benefício</w:t>
      </w:r>
    </w:p>
    <w:p>
      <w:pPr>
        <w:pStyle w:val="ListBullet"/>
      </w:pPr>
      <w:r>
        <w:rPr>
          <w:sz w:val="22"/>
        </w:rPr>
        <w:t>Necessidade de avaliação periódica de custo-benefício por desoneração</w:t>
      </w:r>
    </w:p>
    <w:p/>
    <w:p>
      <w:pPr>
        <w:pStyle w:val="Heading1"/>
      </w:pPr>
      <w:r>
        <w:rPr>
          <w:color w:val="2E7D32"/>
          <w:sz w:val="32"/>
        </w:rPr>
        <w:t>Parcerias Público-Privadas</w:t>
      </w:r>
    </w:p>
    <w:p>
      <w:r>
        <w:rPr>
          <w:b w:val="0"/>
          <w:i w:val="0"/>
          <w:sz w:val="22"/>
        </w:rPr>
        <w:t>O comprometimento da RCL com PPPs em 2025 é de 0,23% (R$ 91 mi). A projeção indica um pico de 3,16% em 2026 (R$ 1.26 bi), ainda dentro do limite legal de 5% da RCL (Lei 11.079/2004) — mas com pouca margem se novas PPPs forem contratadas sem ajustes compensatórios.</w:t>
      </w:r>
    </w:p>
    <w:p/>
    <w:p>
      <w:r>
        <w:rPr>
          <w:b/>
          <w:i w:val="0"/>
          <w:sz w:val="22"/>
        </w:rPr>
        <w:t>Carteira de projetos: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2835"/>
            <w:shd w:val="clear" w:color="auto" w:fill="2E7D3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Prestação dos serviços de iluminação pública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Contratada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Nova Saída Norte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Avenida das Cidades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Gestão do Aterro Sanitário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Ecoparques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Logística de Medicamentos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Rede de Apoio de Diagnóstico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Transporte Metroviário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VLT na W3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Processamento de roupas — Saúde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1A5FA6"/>
                <w:sz w:val="20"/>
              </w:rPr>
              <w:t>A contratar</w:t>
            </w:r>
          </w:p>
        </w:tc>
      </w:tr>
      <w:tr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20"/>
              </w:rPr>
              <w:t>BRT Sul e Oeste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47A10"/>
                <w:sz w:val="20"/>
              </w:rPr>
              <w:t>Suspenso</w:t>
            </w:r>
          </w:p>
        </w:tc>
      </w:tr>
    </w:tbl>
    <w:p>
      <w:r>
        <w:rPr>
          <w:i/>
          <w:color w:val="6B7280"/>
          <w:sz w:val="18"/>
        </w:rPr>
        <w:t>Fonte: Lista de projetos e projeção de comprometimento: Demonstrativo das Parcerias Público-Privadas do RREO – 6º bimestre de 2025, Anexo 13.</w:t>
      </w:r>
    </w:p>
    <w:p/>
    <w:p>
      <w:pPr>
        <w:pStyle w:val="Heading1"/>
      </w:pPr>
      <w:r>
        <w:rPr>
          <w:color w:val="2E7D32"/>
          <w:sz w:val="32"/>
        </w:rPr>
        <w:t>Agenda de Recuperação Fiscal</w:t>
      </w:r>
    </w:p>
    <w:p>
      <w:r>
        <w:rPr>
          <w:b w:val="0"/>
          <w:i w:val="0"/>
          <w:sz w:val="22"/>
        </w:rPr>
        <w:t>Os três eixos prioritários para a recuperação fiscal do DF são:</w:t>
      </w:r>
    </w:p>
    <w:p>
      <w:pPr>
        <w:pStyle w:val="Heading2"/>
      </w:pPr>
      <w:r>
        <w:rPr>
          <w:color w:val="2E7D32"/>
          <w:sz w:val="24"/>
        </w:rPr>
        <w:t>Eixo 1. Revisão do gasto direto</w:t>
      </w:r>
    </w:p>
    <w:p>
      <w:pPr>
        <w:pStyle w:val="ListBullet"/>
      </w:pPr>
      <w:r>
        <w:rPr>
          <w:sz w:val="22"/>
        </w:rPr>
        <w:t>Revisão de contratos e serviços continuados</w:t>
      </w:r>
    </w:p>
    <w:p>
      <w:pPr>
        <w:pStyle w:val="ListBullet"/>
      </w:pPr>
      <w:r>
        <w:rPr>
          <w:sz w:val="22"/>
        </w:rPr>
        <w:t>Avaliação de efetividade de políticas e programas</w:t>
      </w:r>
    </w:p>
    <w:p>
      <w:pPr>
        <w:pStyle w:val="ListBullet"/>
      </w:pPr>
      <w:r>
        <w:rPr>
          <w:sz w:val="22"/>
        </w:rPr>
        <w:t>Redesenho de programas sociais com baixa cobertura</w:t>
      </w:r>
    </w:p>
    <w:p>
      <w:pPr>
        <w:pStyle w:val="Heading2"/>
      </w:pPr>
      <w:r>
        <w:rPr>
          <w:color w:val="2E7D32"/>
          <w:sz w:val="24"/>
        </w:rPr>
        <w:t>Eixo 2. Receita e incentivos tributários</w:t>
      </w:r>
    </w:p>
    <w:p>
      <w:pPr>
        <w:pStyle w:val="ListBullet"/>
      </w:pPr>
      <w:r>
        <w:rPr>
          <w:sz w:val="22"/>
        </w:rPr>
        <w:t>Auditoria dos R$ 13,4 bi em benefícios fiscais</w:t>
      </w:r>
    </w:p>
    <w:p>
      <w:pPr>
        <w:pStyle w:val="ListBullet"/>
      </w:pPr>
      <w:r>
        <w:rPr>
          <w:sz w:val="22"/>
        </w:rPr>
        <w:t>Instituir governança sobre benefícios (prazo, contrapartidas, metas etc)</w:t>
      </w:r>
    </w:p>
    <w:p>
      <w:pPr>
        <w:pStyle w:val="ListBullet"/>
      </w:pPr>
      <w:r>
        <w:rPr>
          <w:sz w:val="22"/>
        </w:rPr>
        <w:t>Revisão cadastral e de base de cálculo do IPTU</w:t>
      </w:r>
    </w:p>
    <w:p>
      <w:pPr>
        <w:pStyle w:val="Heading2"/>
      </w:pPr>
      <w:r>
        <w:rPr>
          <w:color w:val="2E7D32"/>
          <w:sz w:val="24"/>
        </w:rPr>
        <w:t>Eixo 3. Poupança corrente e governança</w:t>
      </w:r>
    </w:p>
    <w:p>
      <w:pPr>
        <w:pStyle w:val="ListBullet"/>
      </w:pPr>
      <w:r>
        <w:rPr>
          <w:sz w:val="22"/>
        </w:rPr>
        <w:t>Reconstruir superávits correntes (sair da nota C)</w:t>
      </w:r>
    </w:p>
    <w:p>
      <w:pPr>
        <w:pStyle w:val="ListBullet"/>
      </w:pPr>
      <w:r>
        <w:rPr>
          <w:sz w:val="22"/>
        </w:rPr>
        <w:t>Ampliar horizonte da política fiscal (metas plurianuais)</w:t>
      </w:r>
    </w:p>
    <w:p>
      <w:pPr>
        <w:pStyle w:val="ListBullet"/>
      </w:pPr>
      <w:r>
        <w:rPr>
          <w:sz w:val="22"/>
        </w:rPr>
        <w:t>Criar Junta / Comitê Fiscal permanente</w:t>
      </w:r>
    </w:p>
    <w:p>
      <w:pPr>
        <w:pStyle w:val="ListBullet"/>
      </w:pPr>
      <w:r>
        <w:rPr>
          <w:sz w:val="22"/>
        </w:rPr>
        <w:t>Internalizar FCDF no orçamento do DF</w:t>
      </w:r>
    </w:p>
    <w:p/>
    <w:p>
      <w:pPr>
        <w:pStyle w:val="Heading1"/>
      </w:pPr>
      <w:r>
        <w:rPr>
          <w:color w:val="2E7D32"/>
          <w:sz w:val="32"/>
        </w:rPr>
        <w:t>Considerações Finais</w:t>
      </w:r>
    </w:p>
    <w:p>
      <w:r>
        <w:rPr>
          <w:b w:val="0"/>
          <w:i w:val="0"/>
          <w:sz w:val="22"/>
        </w:rPr>
        <w:t>O DF possui ativos institucionais relevantes: orçamento robusto somado ao FCDF, endividamento controlado, e um conjunto razoável de PPPs estruturadas e em estruturação. O ponto crítico está na poupança corrente: enquanto a despesa corrente consumir 95%+ da receita corrente, não haverá folga para investimento, nem capacidade de absorver choques, nem retomada da nota CAPAG.</w:t>
      </w:r>
    </w:p>
    <w:p>
      <w:r>
        <w:rPr>
          <w:b w:val="0"/>
          <w:i w:val="0"/>
          <w:sz w:val="22"/>
        </w:rPr>
        <w:t>A combinação das três frentes da Agenda — revisão do gasto direto, governança dos benefícios tributários e reconstrução da poupança — é, portanto, o caminho estrutural para recolocar o DF em situação fiscal saudável. Ações pontuais (ajuste de curto prazo, contingenciamento) podem mitigar pressões imediatas mas não substituem o ajuste estrutural necessário.</w:t>
      </w:r>
    </w:p>
    <w:p/>
    <w:p>
      <w:pPr>
        <w:pStyle w:val="Heading1"/>
      </w:pPr>
      <w:r>
        <w:rPr>
          <w:color w:val="2E7D32"/>
          <w:sz w:val="32"/>
        </w:rPr>
        <w:t>Fontes e Metodologia</w:t>
      </w:r>
    </w:p>
    <w:p>
      <w:r>
        <w:rPr>
          <w:b w:val="0"/>
          <w:i/>
          <w:color w:val="6B7280"/>
          <w:sz w:val="22"/>
        </w:rPr>
        <w:t>Atualização dos dados: 2026-05-11T14:11:28</w:t>
      </w:r>
    </w:p>
    <w:p>
      <w:pPr>
        <w:pStyle w:val="ListBullet"/>
      </w:pPr>
      <w:r>
        <w:rPr>
          <w:sz w:val="22"/>
        </w:rPr>
        <w:t>SICONFI/STN — RREO – 1º bimestre de 2026 (orçamento DF 2026)</w:t>
      </w:r>
    </w:p>
    <w:p>
      <w:pPr>
        <w:pStyle w:val="ListBullet"/>
      </w:pPr>
      <w:r>
        <w:rPr>
          <w:sz w:val="22"/>
        </w:rPr>
        <w:t>SICONFI/STN — RREO – 6º bimestre de 2025 (investimento liquidado, receita de impostos, PPPs)</w:t>
      </w:r>
    </w:p>
    <w:p>
      <w:pPr>
        <w:pStyle w:val="ListBullet"/>
      </w:pPr>
      <w:r>
        <w:rPr>
          <w:sz w:val="22"/>
        </w:rPr>
        <w:t>SICONFI/STN — RGF – Poder Executivo – 3º quadrimestre de 2025 (RCL, DTP e disponibilidade de caixa)</w:t>
      </w:r>
    </w:p>
    <w:p>
      <w:pPr>
        <w:pStyle w:val="ListBullet"/>
      </w:pPr>
      <w:r>
        <w:rPr>
          <w:sz w:val="22"/>
        </w:rPr>
        <w:t>SICONFI/STN — RGF – Poder Executivo – 3º quadrimestre dos exercícios 2021 a 2024 (histórico de caixa)</w:t>
      </w:r>
    </w:p>
    <w:p>
      <w:pPr>
        <w:pStyle w:val="ListBullet"/>
      </w:pPr>
      <w:r>
        <w:rPr>
          <w:sz w:val="22"/>
        </w:rPr>
        <w:t>Tesouro Transparente — CAPAG dos Estados (publicações anuais 2018–2025)</w:t>
      </w:r>
    </w:p>
    <w:p>
      <w:pPr>
        <w:pStyle w:val="ListBullet"/>
      </w:pPr>
      <w:r>
        <w:rPr>
          <w:sz w:val="22"/>
        </w:rPr>
        <w:t>IBGE — população residente estimada (SIDRA, agregado 6579)</w:t>
      </w:r>
    </w:p>
    <w:p>
      <w:pPr>
        <w:pStyle w:val="ListBullet"/>
      </w:pPr>
      <w:r>
        <w:rPr>
          <w:sz w:val="22"/>
        </w:rPr>
        <w:t>Portal da Transparência da União — dotação atualizada do FCDF (órgão 25915)</w:t>
      </w:r>
    </w:p>
    <w:p>
      <w:pPr>
        <w:pStyle w:val="ListBullet"/>
      </w:pPr>
      <w:r>
        <w:rPr>
          <w:sz w:val="22"/>
        </w:rPr>
        <w:t>Beneficiômetro SEEC-DF — valor total dos benefícios tributários</w:t>
      </w:r>
    </w:p>
    <w:p>
      <w:r>
        <w:rPr>
          <w:b w:val="0"/>
          <w:i/>
          <w:color w:val="6B7280"/>
          <w:sz w:val="22"/>
        </w:rPr>
        <w:t>Painel ao vivo: https://couri-consult.github.io/panorama-fiscal-df/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