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25960" w14:textId="20C9137F" w:rsidR="00BB0B43" w:rsidRDefault="00000000" w:rsidP="009816A9">
      <w:pPr>
        <w:jc w:val="center"/>
      </w:pPr>
      <w:r>
        <w:rPr>
          <w:b/>
          <w:color w:val="1B5E20"/>
          <w:sz w:val="44"/>
        </w:rPr>
        <w:t>Panorama Fiscal do D</w:t>
      </w:r>
      <w:r w:rsidR="009816A9">
        <w:rPr>
          <w:b/>
          <w:color w:val="1B5E20"/>
          <w:sz w:val="44"/>
        </w:rPr>
        <w:t>F</w:t>
      </w:r>
    </w:p>
    <w:p w14:paraId="6ECB64D4" w14:textId="5AB9CF10" w:rsidR="00BB0B43" w:rsidRDefault="00D124C5" w:rsidP="009816A9">
      <w:pPr>
        <w:jc w:val="center"/>
      </w:pPr>
      <w:r w:rsidRPr="00D124C5">
        <w:rPr>
          <w:i/>
          <w:color w:val="2E7D32"/>
          <w:sz w:val="28"/>
        </w:rPr>
        <w:t>Diagnóstico das contas públicas e agenda para recuperar a capacidade de investimento</w:t>
      </w:r>
    </w:p>
    <w:p w14:paraId="0BE8189F" w14:textId="42CEC37B" w:rsidR="00BB0B43" w:rsidRDefault="009816A9" w:rsidP="009816A9">
      <w:pPr>
        <w:jc w:val="right"/>
      </w:pPr>
      <w:r>
        <w:rPr>
          <w:color w:val="6B7280"/>
          <w:sz w:val="20"/>
        </w:rPr>
        <w:t>1</w:t>
      </w:r>
      <w:r w:rsidR="00365945">
        <w:rPr>
          <w:color w:val="6B7280"/>
          <w:sz w:val="20"/>
        </w:rPr>
        <w:t>5</w:t>
      </w:r>
      <w:r>
        <w:rPr>
          <w:color w:val="6B7280"/>
          <w:sz w:val="20"/>
        </w:rPr>
        <w:t>/05/2026</w:t>
      </w:r>
    </w:p>
    <w:p w14:paraId="00464298" w14:textId="425BDEC3" w:rsidR="00BB0B43" w:rsidRDefault="009816A9" w:rsidP="009816A9">
      <w:pPr>
        <w:pStyle w:val="Ttulo1"/>
        <w:spacing w:after="120"/>
        <w:jc w:val="both"/>
        <w:rPr>
          <w:color w:val="2E7D32"/>
          <w:sz w:val="32"/>
        </w:rPr>
      </w:pPr>
      <w:r>
        <w:rPr>
          <w:color w:val="2E7D32"/>
          <w:sz w:val="32"/>
        </w:rPr>
        <w:t>Contexto geral</w:t>
      </w:r>
    </w:p>
    <w:p w14:paraId="64158497" w14:textId="7C85639A" w:rsidR="008D6449" w:rsidRDefault="008D6449" w:rsidP="009816A9">
      <w:pPr>
        <w:jc w:val="both"/>
      </w:pPr>
      <w:r w:rsidRPr="008D6449">
        <w:t>O orçamento do Distrito Federal para 2026 é de R$ 44,1 bilhões, acrescido de R$ 28,4 bilhões do Fundo Constitucional do Distrito Federal (FCDF)</w:t>
      </w:r>
      <w:r w:rsidRPr="008D6449">
        <w:rPr>
          <w:rStyle w:val="Refdenotaderodap"/>
        </w:rPr>
        <w:t xml:space="preserve"> </w:t>
      </w:r>
      <w:r>
        <w:rPr>
          <w:rStyle w:val="Refdenotaderodap"/>
        </w:rPr>
        <w:footnoteReference w:id="1"/>
      </w:r>
      <w:r w:rsidRPr="008D6449">
        <w:t>. Com isso, os recursos disponíveis para cobrir as despesas do ano chegam a cerca de R$ 72,5 bilhões.</w:t>
      </w:r>
      <w:r>
        <w:t xml:space="preserve"> </w:t>
      </w:r>
      <w:r w:rsidRPr="008D6449">
        <w:t xml:space="preserve">Mesmo sem considerar o FCDF, o orçamento do DF já o colocaria como o 12º maior do país e o maior em termos </w:t>
      </w:r>
      <w:r w:rsidRPr="008D6449">
        <w:rPr>
          <w:i/>
          <w:iCs/>
        </w:rPr>
        <w:t>per capita</w:t>
      </w:r>
      <w:r w:rsidRPr="008D6449">
        <w:t>. Com os recursos do Fundo, o Distrito Federal passa à 6ª posição, atrás apenas de São Paulo, Minas Gerais, Rio de Janeiro, Rio Grande do Sul e Paraná.</w:t>
      </w:r>
    </w:p>
    <w:p w14:paraId="20F367D6" w14:textId="237BCE34" w:rsidR="00750FA3" w:rsidRDefault="008D6449" w:rsidP="008D6449">
      <w:pPr>
        <w:jc w:val="both"/>
      </w:pPr>
      <w:r>
        <w:t xml:space="preserve">A nota Capag consolidada do DF é “C”, classificação que impede a contratação de operações de crédito com garantia da União. </w:t>
      </w:r>
      <w:r>
        <w:t>Entre os indicadores que compõem a nota Capag, o</w:t>
      </w:r>
      <w:r>
        <w:t xml:space="preserve"> pior é a chamada Poupança Corrente, que mede a economia disponível para financiar investimentos e outras despesas de capital.</w:t>
      </w:r>
      <w:r>
        <w:t xml:space="preserve"> </w:t>
      </w:r>
      <w:r>
        <w:t>No DF, praticamente toda a receita corrente é consumida pelas despesas correntes. Com isso, resta pouca ou nenhuma margem para investir.</w:t>
      </w:r>
      <w:r w:rsidR="00000000">
        <w:t xml:space="preserve"> </w:t>
      </w:r>
    </w:p>
    <w:p w14:paraId="0C3C02AC" w14:textId="164F8452" w:rsidR="00BB0B43" w:rsidRDefault="008D6449" w:rsidP="009816A9">
      <w:pPr>
        <w:jc w:val="both"/>
      </w:pPr>
      <w:r w:rsidRPr="008D6449">
        <w:t>Os recursos em caixa estão em queda. A disponibilidade líquida</w:t>
      </w:r>
      <w:r>
        <w:t xml:space="preserve"> (ou seja</w:t>
      </w:r>
      <w:r w:rsidRPr="008D6449">
        <w:t>, já descontadas as obrigações financeiras de curto prazo</w:t>
      </w:r>
      <w:r>
        <w:t>)</w:t>
      </w:r>
      <w:r w:rsidRPr="008D6449">
        <w:t xml:space="preserve"> </w:t>
      </w:r>
      <w:r>
        <w:t xml:space="preserve">passou </w:t>
      </w:r>
      <w:r w:rsidRPr="008D6449">
        <w:t>de R$ 1,9 bilhão em 2021 para</w:t>
      </w:r>
      <w:r>
        <w:t xml:space="preserve"> apenas </w:t>
      </w:r>
      <w:r w:rsidRPr="008D6449">
        <w:t xml:space="preserve">R$ 570 milhões </w:t>
      </w:r>
      <w:r>
        <w:t>ao fim de</w:t>
      </w:r>
      <w:r w:rsidRPr="008D6449">
        <w:t xml:space="preserve"> 2025. O cenário é ainda mais preocupante quando se consideram apenas os recursos não vinculados a despesas específicas, as chamadas fontes livres. Nesse caso, a disponibilidade é negativa</w:t>
      </w:r>
      <w:r w:rsidR="00750FA3">
        <w:t>.</w:t>
      </w:r>
    </w:p>
    <w:p w14:paraId="2A36C8EB" w14:textId="45609517" w:rsidR="00CD3CBB" w:rsidRDefault="00CD3CBB" w:rsidP="009816A9">
      <w:pPr>
        <w:jc w:val="both"/>
      </w:pPr>
      <w:r w:rsidRPr="00CD3CBB">
        <w:t xml:space="preserve">O DF também investe pouco. Em 2025, o investimento total </w:t>
      </w:r>
      <w:r>
        <w:t>foi de</w:t>
      </w:r>
      <w:r w:rsidRPr="00CD3CBB">
        <w:t xml:space="preserve"> </w:t>
      </w:r>
      <w:r>
        <w:t xml:space="preserve">R$ 1,8 bilhão. Esse valor equivale a </w:t>
      </w:r>
      <w:r w:rsidRPr="00CD3CBB">
        <w:t>apenas 4,7% da Receita Corrente Líquida (RCL)</w:t>
      </w:r>
      <w:r>
        <w:rPr>
          <w:rStyle w:val="Refdenotaderodap"/>
        </w:rPr>
        <w:footnoteReference w:id="2"/>
      </w:r>
      <w:r w:rsidRPr="00CD3CBB">
        <w:t>, o que coloc</w:t>
      </w:r>
      <w:r>
        <w:t>a</w:t>
      </w:r>
      <w:r w:rsidRPr="00CD3CBB">
        <w:t xml:space="preserve"> o Distrito Federal na 20ª posição entre as 27 unidades da federação. Para alcançar apenas a média dos estados, de 8,4% da RCL, seria necessário investir cerca de R$ 1,5 bilhão a mais por ano. Para atingir o patamar do Piauí, líder nacional em 2025, com investimentos equivalentes a 17% da RCL, o esforço adicional seria de R$ 4,8 bilhões ao ano.</w:t>
      </w:r>
    </w:p>
    <w:p w14:paraId="46B1744B" w14:textId="77777777" w:rsidR="00CD3CBB" w:rsidRDefault="00CD3CBB" w:rsidP="00CD3CBB">
      <w:pPr>
        <w:jc w:val="both"/>
      </w:pPr>
      <w:r>
        <w:t>A despesa com pessoal está em 41,5% da RCL. Embora esteja dentro do limite legal, ela se aproxima do limite de alerta do Poder Executivo, que é de 44,1%.</w:t>
      </w:r>
    </w:p>
    <w:p w14:paraId="65077F63" w14:textId="71077438" w:rsidR="00CD3CBB" w:rsidRDefault="00CD3CBB" w:rsidP="00CD3CBB">
      <w:pPr>
        <w:jc w:val="both"/>
      </w:pPr>
      <w:r>
        <w:t>Esse quadro é agravado pelo volume de benefícios tributários concedidos, sobretudo no ICMS, principal fonte de receita do DF. Em 2025, esses benefícios somaram R$ 13,4 bilhões, diante de uma arrecadação total de R$ 2</w:t>
      </w:r>
      <w:r w:rsidR="00F42A70">
        <w:t>6</w:t>
      </w:r>
      <w:r>
        <w:t>,4 bilhões com impostos distritais.</w:t>
      </w:r>
    </w:p>
    <w:p w14:paraId="4CF5AAA5" w14:textId="7DC1F09B" w:rsidR="00CD3CBB" w:rsidRDefault="00CD3CBB" w:rsidP="00CD3CBB">
      <w:pPr>
        <w:jc w:val="both"/>
      </w:pPr>
      <w:r>
        <w:t xml:space="preserve">A combinação desses sinais mostra a necessidade urgente de uma agenda de recuperação fiscal, sustentada em </w:t>
      </w:r>
      <w:r w:rsidR="00F42A70">
        <w:t>quatro</w:t>
      </w:r>
      <w:r>
        <w:t xml:space="preserve"> eixos: </w:t>
      </w:r>
      <w:r w:rsidR="00F42A70">
        <w:t xml:space="preserve">(i) </w:t>
      </w:r>
      <w:r w:rsidR="00F42A70" w:rsidRPr="00F42A70">
        <w:t>Qualidade do gasto e revisão de despesas</w:t>
      </w:r>
      <w:r w:rsidR="00F42A70">
        <w:t xml:space="preserve">; (ii) </w:t>
      </w:r>
      <w:r w:rsidR="00F42A70" w:rsidRPr="00F42A70">
        <w:t xml:space="preserve">Receita, benefícios </w:t>
      </w:r>
      <w:r w:rsidR="00F42A70" w:rsidRPr="00F42A70">
        <w:lastRenderedPageBreak/>
        <w:t>tributários e justiça fiscal</w:t>
      </w:r>
      <w:r w:rsidR="00F42A70">
        <w:t>; (iii)</w:t>
      </w:r>
      <w:r>
        <w:t xml:space="preserve"> </w:t>
      </w:r>
      <w:r w:rsidR="00F42A70" w:rsidRPr="00F42A70">
        <w:t>Gestão de pessoal e estrutura administrativa</w:t>
      </w:r>
      <w:r w:rsidR="00F42A70">
        <w:t xml:space="preserve">; e (iv) </w:t>
      </w:r>
      <w:r w:rsidR="00F42A70" w:rsidRPr="00F42A70">
        <w:t>Governança fiscal, investimento e endividamento responsável</w:t>
      </w:r>
      <w:r>
        <w:t>.</w:t>
      </w:r>
    </w:p>
    <w:p w14:paraId="4E2C45DB" w14:textId="3B5611F4" w:rsidR="00BB0B43" w:rsidRDefault="00E87DE4" w:rsidP="009816A9">
      <w:pPr>
        <w:pStyle w:val="Ttulo1"/>
        <w:jc w:val="both"/>
      </w:pPr>
      <w:r>
        <w:rPr>
          <w:color w:val="2E7D32"/>
          <w:sz w:val="32"/>
        </w:rPr>
        <w:t>Situação fiscal em números</w:t>
      </w:r>
    </w:p>
    <w:tbl>
      <w:tblPr>
        <w:tblStyle w:val="Tabelacomgrade"/>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98"/>
        <w:gridCol w:w="1698"/>
        <w:gridCol w:w="1697"/>
        <w:gridCol w:w="1697"/>
        <w:gridCol w:w="1699"/>
        <w:gridCol w:w="1699"/>
      </w:tblGrid>
      <w:tr w:rsidR="00897BBB" w14:paraId="12EB2F6E" w14:textId="77777777" w:rsidTr="00897BBB">
        <w:tc>
          <w:tcPr>
            <w:tcW w:w="833" w:type="pct"/>
            <w:shd w:val="clear" w:color="auto" w:fill="1B5E20"/>
            <w:vAlign w:val="center"/>
          </w:tcPr>
          <w:p w14:paraId="53B6BEAC" w14:textId="5582AAFD" w:rsidR="00897BBB" w:rsidRPr="00897BBB" w:rsidRDefault="00897BBB" w:rsidP="00897BBB">
            <w:pPr>
              <w:jc w:val="center"/>
              <w:rPr>
                <w:b/>
                <w:bCs/>
                <w:iCs/>
                <w:color w:val="FFFFFF" w:themeColor="background1"/>
              </w:rPr>
            </w:pPr>
            <w:r w:rsidRPr="00897BBB">
              <w:rPr>
                <w:b/>
                <w:bCs/>
                <w:iCs/>
                <w:color w:val="FFFFFF" w:themeColor="background1"/>
              </w:rPr>
              <w:t xml:space="preserve">Orçamento do DF </w:t>
            </w:r>
            <w:r>
              <w:rPr>
                <w:b/>
                <w:bCs/>
                <w:iCs/>
                <w:color w:val="FFFFFF" w:themeColor="background1"/>
              </w:rPr>
              <w:br/>
            </w:r>
            <w:r w:rsidRPr="00897BBB">
              <w:rPr>
                <w:b/>
                <w:bCs/>
                <w:iCs/>
                <w:color w:val="FFFFFF" w:themeColor="background1"/>
              </w:rPr>
              <w:t>em 2026</w:t>
            </w:r>
          </w:p>
        </w:tc>
        <w:tc>
          <w:tcPr>
            <w:tcW w:w="833" w:type="pct"/>
            <w:shd w:val="clear" w:color="auto" w:fill="1B5E20"/>
            <w:vAlign w:val="center"/>
          </w:tcPr>
          <w:p w14:paraId="24BDA427" w14:textId="76F9C916" w:rsidR="00897BBB" w:rsidRPr="00897BBB" w:rsidRDefault="00897BBB" w:rsidP="00897BBB">
            <w:pPr>
              <w:jc w:val="center"/>
              <w:rPr>
                <w:b/>
                <w:bCs/>
                <w:iCs/>
                <w:color w:val="FFFFFF" w:themeColor="background1"/>
              </w:rPr>
            </w:pPr>
            <w:r w:rsidRPr="00897BBB">
              <w:rPr>
                <w:b/>
                <w:bCs/>
                <w:iCs/>
                <w:color w:val="FFFFFF" w:themeColor="background1"/>
              </w:rPr>
              <w:t xml:space="preserve">FCDF </w:t>
            </w:r>
            <w:r>
              <w:rPr>
                <w:b/>
                <w:bCs/>
                <w:iCs/>
                <w:color w:val="FFFFFF" w:themeColor="background1"/>
              </w:rPr>
              <w:br/>
            </w:r>
            <w:r w:rsidRPr="00897BBB">
              <w:rPr>
                <w:b/>
                <w:bCs/>
                <w:iCs/>
                <w:color w:val="FFFFFF" w:themeColor="background1"/>
              </w:rPr>
              <w:t>em 2026</w:t>
            </w:r>
          </w:p>
        </w:tc>
        <w:tc>
          <w:tcPr>
            <w:tcW w:w="833" w:type="pct"/>
            <w:shd w:val="clear" w:color="auto" w:fill="1B5E20"/>
            <w:vAlign w:val="center"/>
          </w:tcPr>
          <w:p w14:paraId="1A4F3394" w14:textId="67A4395D" w:rsidR="00897BBB" w:rsidRPr="00897BBB" w:rsidRDefault="00897BBB" w:rsidP="00897BBB">
            <w:pPr>
              <w:jc w:val="center"/>
              <w:rPr>
                <w:b/>
                <w:bCs/>
                <w:iCs/>
                <w:color w:val="FFFFFF" w:themeColor="background1"/>
              </w:rPr>
            </w:pPr>
            <w:r w:rsidRPr="00897BBB">
              <w:rPr>
                <w:b/>
                <w:bCs/>
                <w:iCs/>
                <w:color w:val="FFFFFF" w:themeColor="background1"/>
              </w:rPr>
              <w:t xml:space="preserve">Investimento / RCL </w:t>
            </w:r>
            <w:r>
              <w:rPr>
                <w:b/>
                <w:bCs/>
                <w:iCs/>
                <w:color w:val="FFFFFF" w:themeColor="background1"/>
              </w:rPr>
              <w:br/>
            </w:r>
            <w:r w:rsidRPr="00897BBB">
              <w:rPr>
                <w:b/>
                <w:bCs/>
                <w:iCs/>
                <w:color w:val="FFFFFF" w:themeColor="background1"/>
              </w:rPr>
              <w:t>em 2025</w:t>
            </w:r>
          </w:p>
        </w:tc>
        <w:tc>
          <w:tcPr>
            <w:tcW w:w="833" w:type="pct"/>
            <w:shd w:val="clear" w:color="auto" w:fill="1B5E20"/>
            <w:vAlign w:val="center"/>
          </w:tcPr>
          <w:p w14:paraId="6B7A6C36" w14:textId="2239A60A" w:rsidR="00897BBB" w:rsidRPr="00897BBB" w:rsidRDefault="00897BBB" w:rsidP="00897BBB">
            <w:pPr>
              <w:jc w:val="center"/>
              <w:rPr>
                <w:b/>
                <w:bCs/>
                <w:iCs/>
                <w:color w:val="FFFFFF" w:themeColor="background1"/>
              </w:rPr>
            </w:pPr>
            <w:r w:rsidRPr="00897BBB">
              <w:rPr>
                <w:b/>
                <w:bCs/>
                <w:iCs/>
                <w:color w:val="FFFFFF" w:themeColor="background1"/>
              </w:rPr>
              <w:t xml:space="preserve">Capag </w:t>
            </w:r>
            <w:r>
              <w:rPr>
                <w:b/>
                <w:bCs/>
                <w:iCs/>
                <w:color w:val="FFFFFF" w:themeColor="background1"/>
              </w:rPr>
              <w:br/>
            </w:r>
            <w:r w:rsidRPr="00897BBB">
              <w:rPr>
                <w:b/>
                <w:bCs/>
                <w:iCs/>
                <w:color w:val="FFFFFF" w:themeColor="background1"/>
              </w:rPr>
              <w:t>em 2025</w:t>
            </w:r>
          </w:p>
        </w:tc>
        <w:tc>
          <w:tcPr>
            <w:tcW w:w="834" w:type="pct"/>
            <w:shd w:val="clear" w:color="auto" w:fill="1B5E20"/>
            <w:vAlign w:val="center"/>
          </w:tcPr>
          <w:p w14:paraId="52963D57" w14:textId="794BCE02" w:rsidR="00897BBB" w:rsidRPr="00897BBB" w:rsidRDefault="00897BBB" w:rsidP="00897BBB">
            <w:pPr>
              <w:jc w:val="center"/>
              <w:rPr>
                <w:b/>
                <w:bCs/>
                <w:iCs/>
                <w:color w:val="FFFFFF" w:themeColor="background1"/>
              </w:rPr>
            </w:pPr>
            <w:r w:rsidRPr="00897BBB">
              <w:rPr>
                <w:b/>
                <w:bCs/>
                <w:iCs/>
                <w:color w:val="FFFFFF" w:themeColor="background1"/>
              </w:rPr>
              <w:t>Caixa líquido em 2025</w:t>
            </w:r>
          </w:p>
        </w:tc>
        <w:tc>
          <w:tcPr>
            <w:tcW w:w="834" w:type="pct"/>
            <w:shd w:val="clear" w:color="auto" w:fill="1B5E20"/>
            <w:vAlign w:val="center"/>
          </w:tcPr>
          <w:p w14:paraId="68BC17D5" w14:textId="18A38DC6" w:rsidR="00897BBB" w:rsidRPr="00897BBB" w:rsidRDefault="00897BBB" w:rsidP="00897BBB">
            <w:pPr>
              <w:jc w:val="center"/>
              <w:rPr>
                <w:b/>
                <w:bCs/>
                <w:iCs/>
                <w:color w:val="FFFFFF" w:themeColor="background1"/>
              </w:rPr>
            </w:pPr>
            <w:r w:rsidRPr="00897BBB">
              <w:rPr>
                <w:b/>
                <w:bCs/>
                <w:iCs/>
                <w:color w:val="FFFFFF" w:themeColor="background1"/>
              </w:rPr>
              <w:t xml:space="preserve">Benefícios tributários </w:t>
            </w:r>
            <w:r>
              <w:rPr>
                <w:b/>
                <w:bCs/>
                <w:iCs/>
                <w:color w:val="FFFFFF" w:themeColor="background1"/>
              </w:rPr>
              <w:br/>
            </w:r>
            <w:r w:rsidRPr="00897BBB">
              <w:rPr>
                <w:b/>
                <w:bCs/>
                <w:iCs/>
                <w:color w:val="FFFFFF" w:themeColor="background1"/>
              </w:rPr>
              <w:t>em 2025</w:t>
            </w:r>
          </w:p>
        </w:tc>
      </w:tr>
      <w:tr w:rsidR="00897BBB" w:rsidRPr="00897BBB" w14:paraId="0F993965" w14:textId="77777777" w:rsidTr="00897BBB">
        <w:tc>
          <w:tcPr>
            <w:tcW w:w="833" w:type="pct"/>
            <w:vAlign w:val="center"/>
          </w:tcPr>
          <w:p w14:paraId="63875BC3" w14:textId="61DFDA3E" w:rsidR="00897BBB" w:rsidRPr="00897BBB" w:rsidRDefault="00897BBB" w:rsidP="00897BBB">
            <w:pPr>
              <w:spacing w:before="240" w:after="240"/>
              <w:jc w:val="center"/>
              <w:rPr>
                <w:iCs/>
                <w:sz w:val="20"/>
                <w:szCs w:val="20"/>
              </w:rPr>
            </w:pPr>
            <w:r w:rsidRPr="00897BBB">
              <w:rPr>
                <w:b/>
                <w:color w:val="1A5FA6"/>
                <w:sz w:val="20"/>
                <w:szCs w:val="20"/>
              </w:rPr>
              <w:t>R$ 44,1 bilhões</w:t>
            </w:r>
          </w:p>
        </w:tc>
        <w:tc>
          <w:tcPr>
            <w:tcW w:w="833" w:type="pct"/>
            <w:vAlign w:val="center"/>
          </w:tcPr>
          <w:p w14:paraId="5AD828A5" w14:textId="662CB802" w:rsidR="00897BBB" w:rsidRPr="00897BBB" w:rsidRDefault="00897BBB" w:rsidP="00897BBB">
            <w:pPr>
              <w:jc w:val="center"/>
              <w:rPr>
                <w:iCs/>
                <w:sz w:val="20"/>
                <w:szCs w:val="20"/>
              </w:rPr>
            </w:pPr>
            <w:r w:rsidRPr="00897BBB">
              <w:rPr>
                <w:b/>
                <w:color w:val="1A5FA6"/>
                <w:sz w:val="20"/>
                <w:szCs w:val="20"/>
              </w:rPr>
              <w:t>R$ 28,4 bilhões</w:t>
            </w:r>
          </w:p>
        </w:tc>
        <w:tc>
          <w:tcPr>
            <w:tcW w:w="833" w:type="pct"/>
            <w:vAlign w:val="center"/>
          </w:tcPr>
          <w:p w14:paraId="319C35DB" w14:textId="79D3E82F" w:rsidR="00897BBB" w:rsidRPr="00897BBB" w:rsidRDefault="00897BBB" w:rsidP="00897BBB">
            <w:pPr>
              <w:jc w:val="center"/>
              <w:rPr>
                <w:iCs/>
                <w:sz w:val="20"/>
                <w:szCs w:val="20"/>
              </w:rPr>
            </w:pPr>
            <w:r w:rsidRPr="00897BBB">
              <w:rPr>
                <w:b/>
                <w:color w:val="C47A10"/>
                <w:sz w:val="20"/>
                <w:szCs w:val="20"/>
              </w:rPr>
              <w:t>4,7%</w:t>
            </w:r>
          </w:p>
        </w:tc>
        <w:tc>
          <w:tcPr>
            <w:tcW w:w="833" w:type="pct"/>
            <w:vAlign w:val="center"/>
          </w:tcPr>
          <w:p w14:paraId="50CAEC52" w14:textId="7970B0E6" w:rsidR="00897BBB" w:rsidRPr="00897BBB" w:rsidRDefault="00897BBB" w:rsidP="00897BBB">
            <w:pPr>
              <w:jc w:val="center"/>
              <w:rPr>
                <w:iCs/>
                <w:sz w:val="20"/>
                <w:szCs w:val="20"/>
              </w:rPr>
            </w:pPr>
            <w:r w:rsidRPr="00897BBB">
              <w:rPr>
                <w:b/>
                <w:color w:val="C0392B"/>
                <w:sz w:val="20"/>
                <w:szCs w:val="20"/>
              </w:rPr>
              <w:t>C</w:t>
            </w:r>
          </w:p>
        </w:tc>
        <w:tc>
          <w:tcPr>
            <w:tcW w:w="834" w:type="pct"/>
            <w:vAlign w:val="center"/>
          </w:tcPr>
          <w:p w14:paraId="13D8F6DC" w14:textId="0DC1502E" w:rsidR="00897BBB" w:rsidRPr="00897BBB" w:rsidRDefault="00897BBB" w:rsidP="00897BBB">
            <w:pPr>
              <w:jc w:val="center"/>
              <w:rPr>
                <w:iCs/>
                <w:sz w:val="20"/>
                <w:szCs w:val="20"/>
              </w:rPr>
            </w:pPr>
            <w:r w:rsidRPr="00897BBB">
              <w:rPr>
                <w:b/>
                <w:color w:val="C0392B"/>
                <w:sz w:val="20"/>
                <w:szCs w:val="20"/>
              </w:rPr>
              <w:t>R$ 570 milhões</w:t>
            </w:r>
          </w:p>
        </w:tc>
        <w:tc>
          <w:tcPr>
            <w:tcW w:w="834" w:type="pct"/>
            <w:vAlign w:val="center"/>
          </w:tcPr>
          <w:p w14:paraId="05830D13" w14:textId="350799A0" w:rsidR="00897BBB" w:rsidRPr="00897BBB" w:rsidRDefault="00897BBB" w:rsidP="00897BBB">
            <w:pPr>
              <w:jc w:val="center"/>
              <w:rPr>
                <w:iCs/>
                <w:sz w:val="20"/>
                <w:szCs w:val="20"/>
              </w:rPr>
            </w:pPr>
            <w:r w:rsidRPr="00897BBB">
              <w:rPr>
                <w:b/>
                <w:color w:val="C47A10"/>
                <w:sz w:val="20"/>
                <w:szCs w:val="20"/>
              </w:rPr>
              <w:t>R$ 13,4 bilhões</w:t>
            </w:r>
          </w:p>
        </w:tc>
      </w:tr>
    </w:tbl>
    <w:p w14:paraId="798F2C95" w14:textId="564D8525" w:rsidR="00897BBB" w:rsidRPr="00897BBB" w:rsidRDefault="00897BBB" w:rsidP="009816A9">
      <w:pPr>
        <w:jc w:val="both"/>
        <w:rPr>
          <w:iCs/>
          <w:sz w:val="20"/>
          <w:szCs w:val="20"/>
        </w:rPr>
      </w:pPr>
      <w:r w:rsidRPr="00897BBB">
        <w:rPr>
          <w:i/>
          <w:color w:val="6B7280"/>
          <w:sz w:val="16"/>
          <w:szCs w:val="20"/>
        </w:rPr>
        <w:t>Fonte: Orçamento DF: Relatório Resumido de Execução Orçamentária (RREO) – 1º bimestre de 2026. FCDF: Portal da Transparência da União — órgão 25915. Investimento/RCL: cálculo a partir de RREO – 6º bimestre de 2025 e Relatório de Gestão Fiscal (RGF) do Poder Executivo – 3º quadrimestre de 2025. CAPAG: Tesouro Transparente. Caixa: RGF – Poder Executivo – 3º quadrimestre de 2025. Benefícios: Beneficiômetro SEEC-DF.</w:t>
      </w:r>
    </w:p>
    <w:p w14:paraId="2B4B4A4E" w14:textId="77777777" w:rsidR="00BB0B43" w:rsidRDefault="00000000" w:rsidP="009816A9">
      <w:pPr>
        <w:pStyle w:val="Ttulo1"/>
        <w:jc w:val="both"/>
      </w:pPr>
      <w:r>
        <w:rPr>
          <w:color w:val="2E7D32"/>
          <w:sz w:val="32"/>
        </w:rPr>
        <w:t>Investimento Público</w:t>
      </w:r>
    </w:p>
    <w:p w14:paraId="026E6F1A" w14:textId="0222E45B" w:rsidR="00BB0B43" w:rsidRDefault="00000000" w:rsidP="009816A9">
      <w:pPr>
        <w:jc w:val="both"/>
      </w:pPr>
      <w:r>
        <w:t>A taxa de investimento sobre a RCL do DF (4,7% em 2025) o coloca em 20º lugar no ranking nacional, atrás da média (8,4%) e muito distante de estados como Piauí (17%), Espírito Santo (14,8%) e Maranhão (14%). Em termos absolutos, o investimento liquidado evoluiu de R$ 0,7 bi</w:t>
      </w:r>
      <w:r w:rsidR="00E87DE4">
        <w:t>lhão</w:t>
      </w:r>
      <w:r>
        <w:t xml:space="preserve"> em 2021 para R$ 1,8 bi</w:t>
      </w:r>
      <w:r w:rsidR="00E87DE4">
        <w:t>lhão</w:t>
      </w:r>
      <w:r>
        <w:t xml:space="preserve"> em 2025.</w:t>
      </w:r>
      <w:r w:rsidR="00663D09">
        <w:t xml:space="preserve"> </w:t>
      </w:r>
      <w:r w:rsidR="00663D09" w:rsidRPr="00663D09">
        <w:t xml:space="preserve">Em termos </w:t>
      </w:r>
      <w:r w:rsidR="00663D09" w:rsidRPr="00663D09">
        <w:rPr>
          <w:i/>
          <w:iCs/>
        </w:rPr>
        <w:t>per capita</w:t>
      </w:r>
      <w:r w:rsidR="00663D09" w:rsidRPr="00663D09">
        <w:t>, o DF ocupa o 12º lugar no país</w:t>
      </w:r>
      <w:r w:rsidR="00663D09">
        <w:t>.</w:t>
      </w:r>
    </w:p>
    <w:p w14:paraId="27B1D6F2" w14:textId="534819E8" w:rsidR="00BB0B43" w:rsidRDefault="00000000" w:rsidP="009816A9">
      <w:pPr>
        <w:jc w:val="both"/>
      </w:pPr>
      <w:r>
        <w:rPr>
          <w:b/>
        </w:rPr>
        <w:t>Lacunas para fechar:</w:t>
      </w:r>
    </w:p>
    <w:p w14:paraId="6C8FCF63" w14:textId="00FACAE4" w:rsidR="00BB0B43" w:rsidRDefault="00000000" w:rsidP="009816A9">
      <w:pPr>
        <w:pStyle w:val="Commarcadores"/>
        <w:jc w:val="both"/>
      </w:pPr>
      <w:r>
        <w:t>Para atingir a média nacional (8,4% da RCL): +R$ 1,5 bi</w:t>
      </w:r>
      <w:r w:rsidR="00D34EED">
        <w:t>lhão</w:t>
      </w:r>
      <w:r>
        <w:t>/ano</w:t>
      </w:r>
    </w:p>
    <w:p w14:paraId="6414021F" w14:textId="46783B70" w:rsidR="00BB0B43" w:rsidRDefault="00000000" w:rsidP="009816A9">
      <w:pPr>
        <w:pStyle w:val="Commarcadores"/>
        <w:jc w:val="both"/>
      </w:pPr>
      <w:r>
        <w:t>Para atingir o nível do líder Piauí (17% da RCL): +R$ 4,8 bi</w:t>
      </w:r>
      <w:r w:rsidR="00D34EED">
        <w:t>lhões</w:t>
      </w:r>
      <w:r>
        <w:t>/ano</w:t>
      </w:r>
    </w:p>
    <w:p w14:paraId="3C6CF845" w14:textId="77777777" w:rsidR="00BB0B43" w:rsidRDefault="00000000" w:rsidP="009816A9">
      <w:pPr>
        <w:pStyle w:val="Ttulo1"/>
        <w:jc w:val="both"/>
      </w:pPr>
      <w:r>
        <w:rPr>
          <w:color w:val="2E7D32"/>
          <w:sz w:val="32"/>
        </w:rPr>
        <w:t>CAPAG — Capacidade de Pagamento</w:t>
      </w:r>
    </w:p>
    <w:p w14:paraId="3C615027" w14:textId="2C04820E" w:rsidR="001F1FD5" w:rsidRDefault="00507DA9" w:rsidP="009816A9">
      <w:pPr>
        <w:jc w:val="both"/>
      </w:pPr>
      <w:r w:rsidRPr="00507DA9">
        <w:t>A Capacidade de Pagamento (Capag) avalia a situação fiscal dos entes subnacionais que pretendem contratar novos empréstimos com garantia da União. Seu objetivo é indicar, de forma simples e transparente, se o novo endividamento representa risco de crédito para o Tesouro Nacional. As notas variam de D, a pior, a A, a melhor.</w:t>
      </w:r>
      <w:r w:rsidR="001F1FD5">
        <w:t xml:space="preserve"> </w:t>
      </w:r>
    </w:p>
    <w:p w14:paraId="44E062A6" w14:textId="77777777" w:rsidR="00507DA9" w:rsidRDefault="00507DA9" w:rsidP="00507DA9">
      <w:pPr>
        <w:jc w:val="both"/>
      </w:pPr>
      <w:r>
        <w:t xml:space="preserve">Atualmente, a nota consolidada do DF, publicada no início de 2026, é </w:t>
      </w:r>
      <w:r w:rsidRPr="00507DA9">
        <w:rPr>
          <w:b/>
          <w:bCs/>
        </w:rPr>
        <w:t>C</w:t>
      </w:r>
      <w:r>
        <w:t>. Na prática, essa classificação restringe a contratação de novas operações de crédito com garantia da União.</w:t>
      </w:r>
    </w:p>
    <w:p w14:paraId="148F00F7" w14:textId="6996DBE2" w:rsidR="00BC7235" w:rsidRDefault="00507DA9" w:rsidP="00507DA9">
      <w:pPr>
        <w:jc w:val="both"/>
      </w:pPr>
      <w:r>
        <w:t>Cabe observar que a nota recém-publicada considera os dados realizados até 2024. Os dados de 2025 só influenciarão a classificação a ser publicada no início de 2027.</w:t>
      </w:r>
    </w:p>
    <w:p w14:paraId="3B7D5352" w14:textId="19D17C01" w:rsidR="00BB0B43" w:rsidRDefault="00000000" w:rsidP="009816A9">
      <w:pPr>
        <w:jc w:val="both"/>
      </w:pPr>
      <w:r>
        <w:t>A CAPAG é composta por três indicadores avaliados pelo Tesouro Nacional:</w:t>
      </w:r>
    </w:p>
    <w:p w14:paraId="63C30AF9" w14:textId="77777777" w:rsidR="00AA27D5" w:rsidRDefault="00AA27D5" w:rsidP="00AA27D5">
      <w:pPr>
        <w:pStyle w:val="PargrafodaLista"/>
        <w:numPr>
          <w:ilvl w:val="0"/>
          <w:numId w:val="25"/>
        </w:numPr>
        <w:jc w:val="both"/>
      </w:pPr>
      <w:r w:rsidRPr="001F1FD5">
        <w:rPr>
          <w:b/>
          <w:bCs/>
        </w:rPr>
        <w:t>Indicador de Endividamento</w:t>
      </w:r>
      <w:r>
        <w:t>: equivale à dívida consolidada bruta</w:t>
      </w:r>
      <w:r>
        <w:rPr>
          <w:rStyle w:val="Refdenotaderodap"/>
        </w:rPr>
        <w:footnoteReference w:id="3"/>
      </w:r>
      <w:r>
        <w:t xml:space="preserve"> dividida pela receita corrente líquida.</w:t>
      </w:r>
    </w:p>
    <w:p w14:paraId="6969229A" w14:textId="7AEB7395" w:rsidR="00AA27D5" w:rsidRDefault="00AA27D5" w:rsidP="00AA27D5">
      <w:pPr>
        <w:pStyle w:val="PargrafodaLista"/>
        <w:numPr>
          <w:ilvl w:val="0"/>
          <w:numId w:val="25"/>
        </w:numPr>
        <w:jc w:val="both"/>
      </w:pPr>
      <w:r w:rsidRPr="001F1FD5">
        <w:rPr>
          <w:b/>
          <w:bCs/>
        </w:rPr>
        <w:lastRenderedPageBreak/>
        <w:t>Indicador de Poupança Corrente</w:t>
      </w:r>
      <w:r>
        <w:t xml:space="preserve">: </w:t>
      </w:r>
      <w:r w:rsidRPr="00AA27D5">
        <w:t xml:space="preserve">equivale à </w:t>
      </w:r>
      <w:r>
        <w:t>despesa corrente</w:t>
      </w:r>
      <w:r w:rsidRPr="00AA27D5">
        <w:t xml:space="preserve"> dividida pela </w:t>
      </w:r>
      <w:r>
        <w:t>receita corrente ajustada. Considera uma média ponderada dos últimos 3 anos, com pesos maiores para os anos mais recentes.</w:t>
      </w:r>
    </w:p>
    <w:p w14:paraId="5A19F2F7" w14:textId="056276F0" w:rsidR="00AA27D5" w:rsidRDefault="00AA27D5" w:rsidP="00AA27D5">
      <w:pPr>
        <w:pStyle w:val="PargrafodaLista"/>
        <w:numPr>
          <w:ilvl w:val="0"/>
          <w:numId w:val="25"/>
        </w:numPr>
        <w:jc w:val="both"/>
      </w:pPr>
      <w:r w:rsidRPr="001F1FD5">
        <w:rPr>
          <w:b/>
          <w:bCs/>
        </w:rPr>
        <w:t>Indicador de Liquidez Relativa</w:t>
      </w:r>
      <w:r>
        <w:t xml:space="preserve">: </w:t>
      </w:r>
      <w:r w:rsidRPr="00AA27D5">
        <w:t xml:space="preserve">equivale à </w:t>
      </w:r>
      <w:r w:rsidR="001F1FD5">
        <w:t>disponibilidade de caixa bruta, deduzidas das obrigações financeiras, div</w:t>
      </w:r>
      <w:r w:rsidRPr="00AA27D5">
        <w:t>idida pela receita corrente ajustada.</w:t>
      </w:r>
    </w:p>
    <w:tbl>
      <w:tblPr>
        <w:tblW w:w="5000" w:type="pct"/>
        <w:tblLook w:val="04A0" w:firstRow="1" w:lastRow="0" w:firstColumn="1" w:lastColumn="0" w:noHBand="0" w:noVBand="1"/>
      </w:tblPr>
      <w:tblGrid>
        <w:gridCol w:w="3595"/>
        <w:gridCol w:w="2197"/>
        <w:gridCol w:w="2197"/>
        <w:gridCol w:w="2199"/>
      </w:tblGrid>
      <w:tr w:rsidR="00BB0B43" w14:paraId="5B17FC5F" w14:textId="77777777" w:rsidTr="00897BBB">
        <w:tc>
          <w:tcPr>
            <w:tcW w:w="1765" w:type="pct"/>
            <w:tcBorders>
              <w:top w:val="single" w:sz="4" w:space="0" w:color="2E7D32"/>
              <w:left w:val="single" w:sz="4" w:space="0" w:color="2E7D32"/>
              <w:bottom w:val="single" w:sz="4" w:space="0" w:color="2E7D32"/>
              <w:right w:val="single" w:sz="4" w:space="0" w:color="2E7D32"/>
            </w:tcBorders>
            <w:shd w:val="clear" w:color="auto" w:fill="2E7D32"/>
            <w:vAlign w:val="center"/>
          </w:tcPr>
          <w:p w14:paraId="575991D5" w14:textId="77777777" w:rsidR="00BB0B43" w:rsidRDefault="00000000" w:rsidP="00897BBB">
            <w:pPr>
              <w:spacing w:after="0" w:line="240" w:lineRule="auto"/>
              <w:jc w:val="center"/>
            </w:pPr>
            <w:r>
              <w:rPr>
                <w:b/>
                <w:color w:val="FFFFFF"/>
                <w:sz w:val="20"/>
              </w:rPr>
              <w:t>Indicador</w:t>
            </w:r>
          </w:p>
        </w:tc>
        <w:tc>
          <w:tcPr>
            <w:tcW w:w="1078" w:type="pct"/>
            <w:tcBorders>
              <w:top w:val="single" w:sz="4" w:space="0" w:color="2E7D32"/>
              <w:left w:val="single" w:sz="4" w:space="0" w:color="2E7D32"/>
              <w:bottom w:val="single" w:sz="4" w:space="0" w:color="2E7D32"/>
              <w:right w:val="single" w:sz="4" w:space="0" w:color="2E7D32"/>
            </w:tcBorders>
            <w:shd w:val="clear" w:color="auto" w:fill="2E7D32"/>
            <w:vAlign w:val="center"/>
          </w:tcPr>
          <w:p w14:paraId="223C7451" w14:textId="77777777" w:rsidR="00BB0B43" w:rsidRDefault="00000000" w:rsidP="00897BBB">
            <w:pPr>
              <w:spacing w:after="0" w:line="240" w:lineRule="auto"/>
              <w:jc w:val="center"/>
            </w:pPr>
            <w:r>
              <w:rPr>
                <w:b/>
                <w:color w:val="FFFFFF"/>
                <w:sz w:val="20"/>
              </w:rPr>
              <w:t>Nota</w:t>
            </w:r>
          </w:p>
        </w:tc>
        <w:tc>
          <w:tcPr>
            <w:tcW w:w="1078" w:type="pct"/>
            <w:tcBorders>
              <w:top w:val="single" w:sz="4" w:space="0" w:color="2E7D32"/>
              <w:left w:val="single" w:sz="4" w:space="0" w:color="2E7D32"/>
              <w:bottom w:val="single" w:sz="4" w:space="0" w:color="2E7D32"/>
              <w:right w:val="single" w:sz="4" w:space="0" w:color="2E7D32"/>
            </w:tcBorders>
            <w:shd w:val="clear" w:color="auto" w:fill="2E7D32"/>
            <w:vAlign w:val="center"/>
          </w:tcPr>
          <w:p w14:paraId="04471C66" w14:textId="77777777" w:rsidR="00BB0B43" w:rsidRDefault="00000000" w:rsidP="00897BBB">
            <w:pPr>
              <w:spacing w:after="0" w:line="240" w:lineRule="auto"/>
              <w:jc w:val="center"/>
            </w:pPr>
            <w:r>
              <w:rPr>
                <w:b/>
                <w:color w:val="FFFFFF"/>
                <w:sz w:val="20"/>
              </w:rPr>
              <w:t>Valor</w:t>
            </w:r>
          </w:p>
        </w:tc>
        <w:tc>
          <w:tcPr>
            <w:tcW w:w="1079" w:type="pct"/>
            <w:tcBorders>
              <w:top w:val="single" w:sz="4" w:space="0" w:color="2E7D32"/>
              <w:left w:val="single" w:sz="4" w:space="0" w:color="2E7D32"/>
              <w:bottom w:val="single" w:sz="4" w:space="0" w:color="2E7D32"/>
              <w:right w:val="single" w:sz="4" w:space="0" w:color="2E7D32"/>
            </w:tcBorders>
            <w:shd w:val="clear" w:color="auto" w:fill="2E7D32"/>
            <w:vAlign w:val="center"/>
          </w:tcPr>
          <w:p w14:paraId="371927C8" w14:textId="77777777" w:rsidR="00BB0B43" w:rsidRDefault="00000000" w:rsidP="00897BBB">
            <w:pPr>
              <w:spacing w:after="0" w:line="240" w:lineRule="auto"/>
              <w:jc w:val="center"/>
            </w:pPr>
            <w:r>
              <w:rPr>
                <w:b/>
                <w:color w:val="FFFFFF"/>
                <w:sz w:val="20"/>
              </w:rPr>
              <w:t>Situação</w:t>
            </w:r>
          </w:p>
        </w:tc>
      </w:tr>
      <w:tr w:rsidR="00BB0B43" w14:paraId="1E0EFBFC" w14:textId="77777777" w:rsidTr="00897BBB">
        <w:tc>
          <w:tcPr>
            <w:tcW w:w="1765" w:type="pct"/>
            <w:tcBorders>
              <w:top w:val="single" w:sz="4" w:space="0" w:color="CCCCCC"/>
              <w:left w:val="single" w:sz="4" w:space="0" w:color="CCCCCC"/>
              <w:bottom w:val="single" w:sz="4" w:space="0" w:color="CCCCCC"/>
              <w:right w:val="single" w:sz="4" w:space="0" w:color="CCCCCC"/>
            </w:tcBorders>
          </w:tcPr>
          <w:p w14:paraId="4239A4C0" w14:textId="5C739827" w:rsidR="00BB0B43" w:rsidRDefault="00000000" w:rsidP="00960C19">
            <w:pPr>
              <w:spacing w:after="0" w:line="240" w:lineRule="auto"/>
              <w:jc w:val="both"/>
            </w:pPr>
            <w:r>
              <w:rPr>
                <w:sz w:val="20"/>
              </w:rPr>
              <w:t>Endividamento</w:t>
            </w:r>
          </w:p>
        </w:tc>
        <w:tc>
          <w:tcPr>
            <w:tcW w:w="1078" w:type="pct"/>
            <w:tcBorders>
              <w:top w:val="single" w:sz="4" w:space="0" w:color="CCCCCC"/>
              <w:left w:val="single" w:sz="4" w:space="0" w:color="CCCCCC"/>
              <w:bottom w:val="single" w:sz="4" w:space="0" w:color="CCCCCC"/>
              <w:right w:val="single" w:sz="4" w:space="0" w:color="CCCCCC"/>
            </w:tcBorders>
            <w:vAlign w:val="center"/>
          </w:tcPr>
          <w:p w14:paraId="3872243B" w14:textId="77777777" w:rsidR="00BB0B43" w:rsidRDefault="00000000" w:rsidP="00960C19">
            <w:pPr>
              <w:spacing w:after="0" w:line="240" w:lineRule="auto"/>
              <w:jc w:val="center"/>
            </w:pPr>
            <w:r>
              <w:rPr>
                <w:b/>
                <w:color w:val="2E7D32"/>
                <w:sz w:val="24"/>
              </w:rPr>
              <w:t>A</w:t>
            </w:r>
          </w:p>
        </w:tc>
        <w:tc>
          <w:tcPr>
            <w:tcW w:w="1078" w:type="pct"/>
            <w:tcBorders>
              <w:top w:val="single" w:sz="4" w:space="0" w:color="CCCCCC"/>
              <w:left w:val="single" w:sz="4" w:space="0" w:color="CCCCCC"/>
              <w:bottom w:val="single" w:sz="4" w:space="0" w:color="CCCCCC"/>
              <w:right w:val="single" w:sz="4" w:space="0" w:color="CCCCCC"/>
            </w:tcBorders>
            <w:vAlign w:val="center"/>
          </w:tcPr>
          <w:p w14:paraId="0DE4B40B" w14:textId="52640DB5" w:rsidR="00BB0B43" w:rsidRDefault="00000000" w:rsidP="00960C19">
            <w:pPr>
              <w:spacing w:after="0" w:line="240" w:lineRule="auto"/>
              <w:jc w:val="center"/>
            </w:pPr>
            <w:r>
              <w:rPr>
                <w:sz w:val="20"/>
              </w:rPr>
              <w:t>30,85%</w:t>
            </w:r>
            <w:r w:rsidR="00AA27D5">
              <w:rPr>
                <w:sz w:val="20"/>
              </w:rPr>
              <w:t xml:space="preserve"> da RCL</w:t>
            </w:r>
          </w:p>
        </w:tc>
        <w:tc>
          <w:tcPr>
            <w:tcW w:w="1079" w:type="pct"/>
            <w:tcBorders>
              <w:top w:val="single" w:sz="4" w:space="0" w:color="CCCCCC"/>
              <w:left w:val="single" w:sz="4" w:space="0" w:color="CCCCCC"/>
              <w:bottom w:val="single" w:sz="4" w:space="0" w:color="CCCCCC"/>
              <w:right w:val="single" w:sz="4" w:space="0" w:color="CCCCCC"/>
            </w:tcBorders>
            <w:vAlign w:val="center"/>
          </w:tcPr>
          <w:p w14:paraId="19DBBDD9" w14:textId="387127EB" w:rsidR="00BB0B43" w:rsidRPr="00507DA9" w:rsidRDefault="00000000" w:rsidP="00507DA9">
            <w:pPr>
              <w:spacing w:after="0" w:line="240" w:lineRule="auto"/>
            </w:pPr>
            <w:r w:rsidRPr="00507DA9">
              <w:rPr>
                <w:i/>
                <w:sz w:val="18"/>
              </w:rPr>
              <w:t>Para nota A: &lt; 60%</w:t>
            </w:r>
          </w:p>
        </w:tc>
      </w:tr>
      <w:tr w:rsidR="00BB0B43" w14:paraId="7F7F99D5" w14:textId="77777777" w:rsidTr="00897BBB">
        <w:tc>
          <w:tcPr>
            <w:tcW w:w="1765" w:type="pct"/>
            <w:tcBorders>
              <w:top w:val="single" w:sz="4" w:space="0" w:color="CCCCCC"/>
              <w:left w:val="single" w:sz="4" w:space="0" w:color="CCCCCC"/>
              <w:bottom w:val="single" w:sz="4" w:space="0" w:color="CCCCCC"/>
              <w:right w:val="single" w:sz="4" w:space="0" w:color="CCCCCC"/>
            </w:tcBorders>
          </w:tcPr>
          <w:p w14:paraId="3FE5B755" w14:textId="77777777" w:rsidR="00BB0B43" w:rsidRDefault="00000000" w:rsidP="00960C19">
            <w:pPr>
              <w:spacing w:after="0" w:line="240" w:lineRule="auto"/>
              <w:jc w:val="both"/>
            </w:pPr>
            <w:r>
              <w:rPr>
                <w:sz w:val="20"/>
              </w:rPr>
              <w:t>Poupança Corrente (Despesa/Receita)</w:t>
            </w:r>
          </w:p>
        </w:tc>
        <w:tc>
          <w:tcPr>
            <w:tcW w:w="1078" w:type="pct"/>
            <w:tcBorders>
              <w:top w:val="single" w:sz="4" w:space="0" w:color="CCCCCC"/>
              <w:left w:val="single" w:sz="4" w:space="0" w:color="CCCCCC"/>
              <w:bottom w:val="single" w:sz="4" w:space="0" w:color="CCCCCC"/>
              <w:right w:val="single" w:sz="4" w:space="0" w:color="CCCCCC"/>
            </w:tcBorders>
            <w:vAlign w:val="center"/>
          </w:tcPr>
          <w:p w14:paraId="6AB707FA" w14:textId="77777777" w:rsidR="00BB0B43" w:rsidRDefault="00000000" w:rsidP="00960C19">
            <w:pPr>
              <w:spacing w:after="0" w:line="240" w:lineRule="auto"/>
              <w:jc w:val="center"/>
            </w:pPr>
            <w:r>
              <w:rPr>
                <w:b/>
                <w:color w:val="C0392B"/>
                <w:sz w:val="24"/>
              </w:rPr>
              <w:t>C</w:t>
            </w:r>
          </w:p>
        </w:tc>
        <w:tc>
          <w:tcPr>
            <w:tcW w:w="1078" w:type="pct"/>
            <w:tcBorders>
              <w:top w:val="single" w:sz="4" w:space="0" w:color="CCCCCC"/>
              <w:left w:val="single" w:sz="4" w:space="0" w:color="CCCCCC"/>
              <w:bottom w:val="single" w:sz="4" w:space="0" w:color="CCCCCC"/>
              <w:right w:val="single" w:sz="4" w:space="0" w:color="CCCCCC"/>
            </w:tcBorders>
            <w:vAlign w:val="center"/>
          </w:tcPr>
          <w:p w14:paraId="0AB9E255" w14:textId="77777777" w:rsidR="00BB0B43" w:rsidRDefault="00000000" w:rsidP="00960C19">
            <w:pPr>
              <w:spacing w:after="0" w:line="240" w:lineRule="auto"/>
              <w:jc w:val="center"/>
            </w:pPr>
            <w:r>
              <w:rPr>
                <w:sz w:val="20"/>
              </w:rPr>
              <w:t>95,27%</w:t>
            </w:r>
          </w:p>
        </w:tc>
        <w:tc>
          <w:tcPr>
            <w:tcW w:w="1079" w:type="pct"/>
            <w:tcBorders>
              <w:top w:val="single" w:sz="4" w:space="0" w:color="CCCCCC"/>
              <w:left w:val="single" w:sz="4" w:space="0" w:color="CCCCCC"/>
              <w:bottom w:val="single" w:sz="4" w:space="0" w:color="CCCCCC"/>
              <w:right w:val="single" w:sz="4" w:space="0" w:color="CCCCCC"/>
            </w:tcBorders>
            <w:vAlign w:val="center"/>
          </w:tcPr>
          <w:p w14:paraId="182C888F" w14:textId="77777777" w:rsidR="00BB0B43" w:rsidRPr="00507DA9" w:rsidRDefault="00000000" w:rsidP="00507DA9">
            <w:pPr>
              <w:spacing w:after="0" w:line="240" w:lineRule="auto"/>
            </w:pPr>
            <w:r w:rsidRPr="00507DA9">
              <w:rPr>
                <w:i/>
                <w:sz w:val="18"/>
              </w:rPr>
              <w:t>Para nota B: &lt; 95%</w:t>
            </w:r>
          </w:p>
        </w:tc>
      </w:tr>
      <w:tr w:rsidR="00BB0B43" w14:paraId="1737C7A2" w14:textId="77777777" w:rsidTr="00897BBB">
        <w:tc>
          <w:tcPr>
            <w:tcW w:w="1765" w:type="pct"/>
            <w:tcBorders>
              <w:top w:val="single" w:sz="4" w:space="0" w:color="CCCCCC"/>
              <w:left w:val="single" w:sz="4" w:space="0" w:color="CCCCCC"/>
              <w:bottom w:val="single" w:sz="4" w:space="0" w:color="CCCCCC"/>
              <w:right w:val="single" w:sz="4" w:space="0" w:color="CCCCCC"/>
            </w:tcBorders>
          </w:tcPr>
          <w:p w14:paraId="5D3D6FF2" w14:textId="7C91A630" w:rsidR="00BB0B43" w:rsidRDefault="00000000" w:rsidP="00960C19">
            <w:pPr>
              <w:spacing w:after="0" w:line="240" w:lineRule="auto"/>
              <w:jc w:val="both"/>
            </w:pPr>
            <w:r>
              <w:rPr>
                <w:sz w:val="20"/>
              </w:rPr>
              <w:t>Liquidez Relativa</w:t>
            </w:r>
          </w:p>
        </w:tc>
        <w:tc>
          <w:tcPr>
            <w:tcW w:w="1078" w:type="pct"/>
            <w:tcBorders>
              <w:top w:val="single" w:sz="4" w:space="0" w:color="CCCCCC"/>
              <w:left w:val="single" w:sz="4" w:space="0" w:color="CCCCCC"/>
              <w:bottom w:val="single" w:sz="4" w:space="0" w:color="CCCCCC"/>
              <w:right w:val="single" w:sz="4" w:space="0" w:color="CCCCCC"/>
            </w:tcBorders>
            <w:vAlign w:val="center"/>
          </w:tcPr>
          <w:p w14:paraId="18FC8297" w14:textId="77777777" w:rsidR="00BB0B43" w:rsidRDefault="00000000" w:rsidP="00960C19">
            <w:pPr>
              <w:spacing w:after="0" w:line="240" w:lineRule="auto"/>
              <w:jc w:val="center"/>
            </w:pPr>
            <w:r>
              <w:rPr>
                <w:b/>
                <w:color w:val="C47A10"/>
                <w:sz w:val="24"/>
              </w:rPr>
              <w:t>B</w:t>
            </w:r>
          </w:p>
        </w:tc>
        <w:tc>
          <w:tcPr>
            <w:tcW w:w="1078" w:type="pct"/>
            <w:tcBorders>
              <w:top w:val="single" w:sz="4" w:space="0" w:color="CCCCCC"/>
              <w:left w:val="single" w:sz="4" w:space="0" w:color="CCCCCC"/>
              <w:bottom w:val="single" w:sz="4" w:space="0" w:color="CCCCCC"/>
              <w:right w:val="single" w:sz="4" w:space="0" w:color="CCCCCC"/>
            </w:tcBorders>
            <w:vAlign w:val="center"/>
          </w:tcPr>
          <w:p w14:paraId="2A2A8F02" w14:textId="4F3DC504" w:rsidR="00BB0B43" w:rsidRDefault="00000000" w:rsidP="00960C19">
            <w:pPr>
              <w:spacing w:after="0" w:line="240" w:lineRule="auto"/>
              <w:jc w:val="center"/>
            </w:pPr>
            <w:r>
              <w:rPr>
                <w:sz w:val="20"/>
              </w:rPr>
              <w:t>1,01%</w:t>
            </w:r>
            <w:r w:rsidR="001F1FD5">
              <w:rPr>
                <w:sz w:val="20"/>
              </w:rPr>
              <w:t xml:space="preserve"> da RCL</w:t>
            </w:r>
          </w:p>
        </w:tc>
        <w:tc>
          <w:tcPr>
            <w:tcW w:w="1079" w:type="pct"/>
            <w:tcBorders>
              <w:top w:val="single" w:sz="4" w:space="0" w:color="CCCCCC"/>
              <w:left w:val="single" w:sz="4" w:space="0" w:color="CCCCCC"/>
              <w:bottom w:val="single" w:sz="4" w:space="0" w:color="CCCCCC"/>
              <w:right w:val="single" w:sz="4" w:space="0" w:color="CCCCCC"/>
            </w:tcBorders>
            <w:vAlign w:val="center"/>
          </w:tcPr>
          <w:p w14:paraId="3DBD0363" w14:textId="77777777" w:rsidR="00BB0B43" w:rsidRPr="00507DA9" w:rsidRDefault="00000000" w:rsidP="00507DA9">
            <w:pPr>
              <w:spacing w:after="0" w:line="240" w:lineRule="auto"/>
            </w:pPr>
            <w:r w:rsidRPr="00507DA9">
              <w:rPr>
                <w:i/>
                <w:sz w:val="18"/>
              </w:rPr>
              <w:t>Para nota A: ≥ 5%</w:t>
            </w:r>
          </w:p>
        </w:tc>
      </w:tr>
    </w:tbl>
    <w:p w14:paraId="51F23D16" w14:textId="18324A39" w:rsidR="00BB0B43" w:rsidRPr="00897BBB" w:rsidRDefault="00000000" w:rsidP="009816A9">
      <w:pPr>
        <w:jc w:val="both"/>
        <w:rPr>
          <w:sz w:val="20"/>
          <w:szCs w:val="20"/>
        </w:rPr>
      </w:pPr>
      <w:r w:rsidRPr="00897BBB">
        <w:rPr>
          <w:i/>
          <w:color w:val="6B7280"/>
          <w:sz w:val="16"/>
          <w:szCs w:val="20"/>
        </w:rPr>
        <w:t>Fonte: Tesouro Nacional / Tesouro Transparente — CAPAG dos Estados (publicação anual).</w:t>
      </w:r>
    </w:p>
    <w:p w14:paraId="58E47DA2" w14:textId="3939EAE5" w:rsidR="003749BF" w:rsidRDefault="003749BF" w:rsidP="003749BF">
      <w:pPr>
        <w:jc w:val="both"/>
      </w:pPr>
      <w:r>
        <w:t xml:space="preserve">O DF manteve nota B entre 2021 e 2023, mas voltou à C em 2024, </w:t>
      </w:r>
      <w:r w:rsidRPr="00663D09">
        <w:t>em razão da deterioração do indicador de Poupança Corrente</w:t>
      </w:r>
      <w:r>
        <w:t>. O ponto forte é o indicador de Endividamento. A dívida consolidada equivale a 30,85% da Receita Corrente Líquida (RCL), abaixo do limite de 60% exigido para nota A nesse critério. Em tese, isso abriria espaço para a contratação gradual de mais de R$ 11 bilhões em novas dívidas</w:t>
      </w:r>
      <w:r w:rsidR="00B73421">
        <w:t xml:space="preserve"> sem perder a nota A da Capag</w:t>
      </w:r>
      <w:r>
        <w:t xml:space="preserve">, desde que observados os demais limites aplicáveis a essas operações. </w:t>
      </w:r>
    </w:p>
    <w:p w14:paraId="50B4A1D1" w14:textId="77777777" w:rsidR="003749BF" w:rsidRDefault="003749BF" w:rsidP="003749BF">
      <w:pPr>
        <w:jc w:val="both"/>
      </w:pPr>
      <w:r w:rsidRPr="00D97459">
        <w:t>De toda forma, esse espaço ainda não pode ser aproveitado, nem mesmo parcialmente, enquanto a classificação consolidada do DF não melhorar. Com nota C, o Distrito Federal fica impedido de contratar operações de crédito com garantia da União.</w:t>
      </w:r>
    </w:p>
    <w:p w14:paraId="05A67FDC" w14:textId="57AE3900" w:rsidR="00BB0B43" w:rsidRDefault="00000000" w:rsidP="009816A9">
      <w:pPr>
        <w:jc w:val="both"/>
      </w:pPr>
      <w:r>
        <w:rPr>
          <w:b/>
        </w:rPr>
        <w:t>Histórico:</w:t>
      </w:r>
    </w:p>
    <w:tbl>
      <w:tblPr>
        <w:tblW w:w="5000" w:type="pct"/>
        <w:tblLook w:val="04A0" w:firstRow="1" w:lastRow="0" w:firstColumn="1" w:lastColumn="0" w:noHBand="0" w:noVBand="1"/>
      </w:tblPr>
      <w:tblGrid>
        <w:gridCol w:w="1315"/>
        <w:gridCol w:w="2301"/>
        <w:gridCol w:w="2300"/>
        <w:gridCol w:w="1972"/>
        <w:gridCol w:w="2300"/>
      </w:tblGrid>
      <w:tr w:rsidR="00BB0B43" w14:paraId="3033605D" w14:textId="77777777" w:rsidTr="00960C19">
        <w:trPr>
          <w:trHeight w:val="170"/>
        </w:trPr>
        <w:tc>
          <w:tcPr>
            <w:tcW w:w="645" w:type="pct"/>
            <w:tcBorders>
              <w:top w:val="single" w:sz="4" w:space="0" w:color="2E7D32"/>
              <w:left w:val="single" w:sz="4" w:space="0" w:color="2E7D32"/>
              <w:bottom w:val="single" w:sz="4" w:space="0" w:color="2E7D32"/>
              <w:right w:val="single" w:sz="4" w:space="0" w:color="2E7D32"/>
            </w:tcBorders>
            <w:shd w:val="clear" w:color="auto" w:fill="2E7D32"/>
            <w:vAlign w:val="center"/>
          </w:tcPr>
          <w:p w14:paraId="5F83BFEF" w14:textId="77777777" w:rsidR="00BB0B43" w:rsidRDefault="00000000" w:rsidP="00960C19">
            <w:pPr>
              <w:spacing w:after="0" w:line="240" w:lineRule="auto"/>
              <w:jc w:val="center"/>
            </w:pPr>
            <w:r>
              <w:rPr>
                <w:b/>
                <w:color w:val="FFFFFF"/>
                <w:sz w:val="18"/>
              </w:rPr>
              <w:t>Ano</w:t>
            </w:r>
          </w:p>
        </w:tc>
        <w:tc>
          <w:tcPr>
            <w:tcW w:w="1129" w:type="pct"/>
            <w:tcBorders>
              <w:top w:val="single" w:sz="4" w:space="0" w:color="2E7D32"/>
              <w:left w:val="single" w:sz="4" w:space="0" w:color="2E7D32"/>
              <w:bottom w:val="single" w:sz="4" w:space="0" w:color="2E7D32"/>
              <w:right w:val="single" w:sz="4" w:space="0" w:color="2E7D32"/>
            </w:tcBorders>
            <w:shd w:val="clear" w:color="auto" w:fill="2E7D32"/>
            <w:vAlign w:val="center"/>
          </w:tcPr>
          <w:p w14:paraId="5C6729AF" w14:textId="77777777" w:rsidR="00BB0B43" w:rsidRDefault="00000000" w:rsidP="00960C19">
            <w:pPr>
              <w:spacing w:after="0" w:line="240" w:lineRule="auto"/>
              <w:jc w:val="center"/>
            </w:pPr>
            <w:r>
              <w:rPr>
                <w:b/>
                <w:color w:val="FFFFFF"/>
                <w:sz w:val="18"/>
              </w:rPr>
              <w:t>Endividamento</w:t>
            </w:r>
          </w:p>
        </w:tc>
        <w:tc>
          <w:tcPr>
            <w:tcW w:w="1129" w:type="pct"/>
            <w:tcBorders>
              <w:top w:val="single" w:sz="4" w:space="0" w:color="2E7D32"/>
              <w:left w:val="single" w:sz="4" w:space="0" w:color="2E7D32"/>
              <w:bottom w:val="single" w:sz="4" w:space="0" w:color="2E7D32"/>
              <w:right w:val="single" w:sz="4" w:space="0" w:color="2E7D32"/>
            </w:tcBorders>
            <w:shd w:val="clear" w:color="auto" w:fill="2E7D32"/>
            <w:vAlign w:val="center"/>
          </w:tcPr>
          <w:p w14:paraId="7CB7140F" w14:textId="540990BC" w:rsidR="00BB0B43" w:rsidRDefault="00000000" w:rsidP="00960C19">
            <w:pPr>
              <w:spacing w:after="0" w:line="240" w:lineRule="auto"/>
              <w:jc w:val="center"/>
            </w:pPr>
            <w:r>
              <w:rPr>
                <w:b/>
                <w:color w:val="FFFFFF"/>
                <w:sz w:val="18"/>
              </w:rPr>
              <w:t>Poup</w:t>
            </w:r>
            <w:r w:rsidR="00BC7235">
              <w:rPr>
                <w:b/>
                <w:color w:val="FFFFFF"/>
                <w:sz w:val="18"/>
              </w:rPr>
              <w:t>ança</w:t>
            </w:r>
            <w:r>
              <w:rPr>
                <w:b/>
                <w:color w:val="FFFFFF"/>
                <w:sz w:val="18"/>
              </w:rPr>
              <w:t xml:space="preserve"> Corrente</w:t>
            </w:r>
          </w:p>
        </w:tc>
        <w:tc>
          <w:tcPr>
            <w:tcW w:w="968" w:type="pct"/>
            <w:tcBorders>
              <w:top w:val="single" w:sz="4" w:space="0" w:color="2E7D32"/>
              <w:left w:val="single" w:sz="4" w:space="0" w:color="2E7D32"/>
              <w:bottom w:val="single" w:sz="4" w:space="0" w:color="2E7D32"/>
              <w:right w:val="single" w:sz="4" w:space="0" w:color="2E7D32"/>
            </w:tcBorders>
            <w:shd w:val="clear" w:color="auto" w:fill="2E7D32"/>
            <w:vAlign w:val="center"/>
          </w:tcPr>
          <w:p w14:paraId="16897C76" w14:textId="77777777" w:rsidR="00BB0B43" w:rsidRDefault="00000000" w:rsidP="00960C19">
            <w:pPr>
              <w:spacing w:after="0" w:line="240" w:lineRule="auto"/>
              <w:jc w:val="center"/>
            </w:pPr>
            <w:r>
              <w:rPr>
                <w:b/>
                <w:color w:val="FFFFFF"/>
                <w:sz w:val="18"/>
              </w:rPr>
              <w:t>Liquidez</w:t>
            </w:r>
          </w:p>
        </w:tc>
        <w:tc>
          <w:tcPr>
            <w:tcW w:w="1129" w:type="pct"/>
            <w:tcBorders>
              <w:top w:val="single" w:sz="4" w:space="0" w:color="2E7D32"/>
              <w:left w:val="single" w:sz="4" w:space="0" w:color="2E7D32"/>
              <w:bottom w:val="single" w:sz="4" w:space="0" w:color="2E7D32"/>
              <w:right w:val="single" w:sz="4" w:space="0" w:color="2E7D32"/>
            </w:tcBorders>
            <w:shd w:val="clear" w:color="auto" w:fill="2E7D32"/>
            <w:vAlign w:val="center"/>
          </w:tcPr>
          <w:p w14:paraId="33787BD5" w14:textId="77777777" w:rsidR="00BB0B43" w:rsidRDefault="00000000" w:rsidP="00960C19">
            <w:pPr>
              <w:spacing w:after="0" w:line="240" w:lineRule="auto"/>
              <w:jc w:val="center"/>
            </w:pPr>
            <w:r>
              <w:rPr>
                <w:b/>
                <w:color w:val="FFFFFF"/>
                <w:sz w:val="18"/>
              </w:rPr>
              <w:t>Consolidado</w:t>
            </w:r>
          </w:p>
        </w:tc>
      </w:tr>
      <w:tr w:rsidR="00BB0B43" w14:paraId="47E9B886" w14:textId="77777777" w:rsidTr="00D44EC5">
        <w:trPr>
          <w:trHeight w:val="170"/>
        </w:trPr>
        <w:tc>
          <w:tcPr>
            <w:tcW w:w="645" w:type="pct"/>
            <w:tcBorders>
              <w:top w:val="single" w:sz="4" w:space="0" w:color="CCCCCC"/>
              <w:left w:val="single" w:sz="4" w:space="0" w:color="CCCCCC"/>
              <w:bottom w:val="single" w:sz="4" w:space="0" w:color="CCCCCC"/>
              <w:right w:val="single" w:sz="4" w:space="0" w:color="CCCCCC"/>
            </w:tcBorders>
            <w:vAlign w:val="center"/>
          </w:tcPr>
          <w:p w14:paraId="3E049C4A" w14:textId="77777777" w:rsidR="00BB0B43" w:rsidRDefault="00000000" w:rsidP="00960C19">
            <w:pPr>
              <w:spacing w:after="0" w:line="240" w:lineRule="auto"/>
              <w:jc w:val="center"/>
            </w:pPr>
            <w:r>
              <w:rPr>
                <w:sz w:val="20"/>
              </w:rPr>
              <w:t>2018</w:t>
            </w:r>
          </w:p>
        </w:tc>
        <w:tc>
          <w:tcPr>
            <w:tcW w:w="1129" w:type="pct"/>
            <w:tcBorders>
              <w:top w:val="single" w:sz="4" w:space="0" w:color="CCCCCC"/>
              <w:left w:val="single" w:sz="4" w:space="0" w:color="CCCCCC"/>
              <w:bottom w:val="single" w:sz="4" w:space="0" w:color="CCCCCC"/>
              <w:right w:val="single" w:sz="4" w:space="0" w:color="CCCCCC"/>
            </w:tcBorders>
            <w:vAlign w:val="center"/>
          </w:tcPr>
          <w:p w14:paraId="51EC87D1" w14:textId="77777777" w:rsidR="00BB0B43" w:rsidRDefault="00000000" w:rsidP="00960C19">
            <w:pPr>
              <w:spacing w:after="0" w:line="240" w:lineRule="auto"/>
              <w:jc w:val="center"/>
            </w:pPr>
            <w:r>
              <w:rPr>
                <w:b/>
                <w:color w:val="6B7280"/>
                <w:sz w:val="20"/>
              </w:rPr>
              <w:t>ND</w:t>
            </w:r>
          </w:p>
        </w:tc>
        <w:tc>
          <w:tcPr>
            <w:tcW w:w="1129" w:type="pct"/>
            <w:tcBorders>
              <w:top w:val="single" w:sz="4" w:space="0" w:color="CCCCCC"/>
              <w:left w:val="single" w:sz="4" w:space="0" w:color="CCCCCC"/>
              <w:bottom w:val="single" w:sz="4" w:space="0" w:color="CCCCCC"/>
              <w:right w:val="single" w:sz="4" w:space="0" w:color="CCCCCC"/>
            </w:tcBorders>
            <w:vAlign w:val="center"/>
          </w:tcPr>
          <w:p w14:paraId="7A233AF5" w14:textId="77777777" w:rsidR="00BB0B43" w:rsidRDefault="00000000" w:rsidP="00960C19">
            <w:pPr>
              <w:spacing w:after="0" w:line="240" w:lineRule="auto"/>
              <w:jc w:val="center"/>
            </w:pPr>
            <w:r>
              <w:rPr>
                <w:b/>
                <w:color w:val="6B7280"/>
                <w:sz w:val="20"/>
              </w:rPr>
              <w:t>ND</w:t>
            </w:r>
          </w:p>
        </w:tc>
        <w:tc>
          <w:tcPr>
            <w:tcW w:w="968" w:type="pct"/>
            <w:tcBorders>
              <w:top w:val="single" w:sz="4" w:space="0" w:color="CCCCCC"/>
              <w:left w:val="single" w:sz="4" w:space="0" w:color="CCCCCC"/>
              <w:bottom w:val="single" w:sz="4" w:space="0" w:color="CCCCCC"/>
              <w:right w:val="single" w:sz="4" w:space="0" w:color="CCCCCC"/>
            </w:tcBorders>
            <w:vAlign w:val="center"/>
          </w:tcPr>
          <w:p w14:paraId="3499C7A2" w14:textId="77777777" w:rsidR="00BB0B43" w:rsidRDefault="00000000" w:rsidP="00960C19">
            <w:pPr>
              <w:spacing w:after="0" w:line="240" w:lineRule="auto"/>
              <w:jc w:val="center"/>
            </w:pPr>
            <w:r>
              <w:rPr>
                <w:b/>
                <w:color w:val="6B7280"/>
                <w:sz w:val="20"/>
              </w:rPr>
              <w:t>ND</w:t>
            </w:r>
          </w:p>
        </w:tc>
        <w:tc>
          <w:tcPr>
            <w:tcW w:w="1129" w:type="pct"/>
            <w:tcBorders>
              <w:top w:val="single" w:sz="4" w:space="0" w:color="CCCCCC"/>
              <w:left w:val="single" w:sz="4" w:space="0" w:color="CCCCCC"/>
              <w:bottom w:val="single" w:sz="4" w:space="0" w:color="CCCCCC"/>
              <w:right w:val="single" w:sz="4" w:space="0" w:color="CCCCCC"/>
            </w:tcBorders>
            <w:shd w:val="clear" w:color="auto" w:fill="EAF1DD" w:themeFill="accent3" w:themeFillTint="33"/>
            <w:vAlign w:val="center"/>
          </w:tcPr>
          <w:p w14:paraId="0A8C6ACC" w14:textId="77777777" w:rsidR="00BB0B43" w:rsidRDefault="00000000" w:rsidP="00960C19">
            <w:pPr>
              <w:spacing w:after="0" w:line="240" w:lineRule="auto"/>
              <w:jc w:val="center"/>
            </w:pPr>
            <w:r>
              <w:rPr>
                <w:b/>
                <w:color w:val="C0392B"/>
                <w:sz w:val="20"/>
              </w:rPr>
              <w:t>C</w:t>
            </w:r>
          </w:p>
        </w:tc>
      </w:tr>
      <w:tr w:rsidR="00BB0B43" w14:paraId="397486EC" w14:textId="77777777" w:rsidTr="00D44EC5">
        <w:trPr>
          <w:trHeight w:val="170"/>
        </w:trPr>
        <w:tc>
          <w:tcPr>
            <w:tcW w:w="645" w:type="pct"/>
            <w:tcBorders>
              <w:top w:val="single" w:sz="4" w:space="0" w:color="CCCCCC"/>
              <w:left w:val="single" w:sz="4" w:space="0" w:color="CCCCCC"/>
              <w:bottom w:val="single" w:sz="4" w:space="0" w:color="CCCCCC"/>
              <w:right w:val="single" w:sz="4" w:space="0" w:color="CCCCCC"/>
            </w:tcBorders>
            <w:vAlign w:val="center"/>
          </w:tcPr>
          <w:p w14:paraId="6C58D128" w14:textId="77777777" w:rsidR="00BB0B43" w:rsidRDefault="00000000" w:rsidP="00960C19">
            <w:pPr>
              <w:spacing w:after="0" w:line="240" w:lineRule="auto"/>
              <w:jc w:val="center"/>
            </w:pPr>
            <w:r>
              <w:rPr>
                <w:sz w:val="20"/>
              </w:rPr>
              <w:t>2019</w:t>
            </w:r>
          </w:p>
        </w:tc>
        <w:tc>
          <w:tcPr>
            <w:tcW w:w="1129" w:type="pct"/>
            <w:tcBorders>
              <w:top w:val="single" w:sz="4" w:space="0" w:color="CCCCCC"/>
              <w:left w:val="single" w:sz="4" w:space="0" w:color="CCCCCC"/>
              <w:bottom w:val="single" w:sz="4" w:space="0" w:color="CCCCCC"/>
              <w:right w:val="single" w:sz="4" w:space="0" w:color="CCCCCC"/>
            </w:tcBorders>
            <w:vAlign w:val="center"/>
          </w:tcPr>
          <w:p w14:paraId="265CDBA0" w14:textId="77777777" w:rsidR="00BB0B43" w:rsidRDefault="00000000" w:rsidP="00960C19">
            <w:pPr>
              <w:spacing w:after="0" w:line="240" w:lineRule="auto"/>
              <w:jc w:val="center"/>
            </w:pPr>
            <w:r>
              <w:rPr>
                <w:b/>
                <w:color w:val="2E7D32"/>
                <w:sz w:val="20"/>
              </w:rPr>
              <w:t>A</w:t>
            </w:r>
          </w:p>
        </w:tc>
        <w:tc>
          <w:tcPr>
            <w:tcW w:w="1129" w:type="pct"/>
            <w:tcBorders>
              <w:top w:val="single" w:sz="4" w:space="0" w:color="CCCCCC"/>
              <w:left w:val="single" w:sz="4" w:space="0" w:color="CCCCCC"/>
              <w:bottom w:val="single" w:sz="4" w:space="0" w:color="CCCCCC"/>
              <w:right w:val="single" w:sz="4" w:space="0" w:color="CCCCCC"/>
            </w:tcBorders>
            <w:vAlign w:val="center"/>
          </w:tcPr>
          <w:p w14:paraId="536258C6" w14:textId="77777777" w:rsidR="00BB0B43" w:rsidRDefault="00000000" w:rsidP="00960C19">
            <w:pPr>
              <w:spacing w:after="0" w:line="240" w:lineRule="auto"/>
              <w:jc w:val="center"/>
            </w:pPr>
            <w:r>
              <w:rPr>
                <w:b/>
                <w:color w:val="C0392B"/>
                <w:sz w:val="20"/>
              </w:rPr>
              <w:t>C</w:t>
            </w:r>
          </w:p>
        </w:tc>
        <w:tc>
          <w:tcPr>
            <w:tcW w:w="968" w:type="pct"/>
            <w:tcBorders>
              <w:top w:val="single" w:sz="4" w:space="0" w:color="CCCCCC"/>
              <w:left w:val="single" w:sz="4" w:space="0" w:color="CCCCCC"/>
              <w:bottom w:val="single" w:sz="4" w:space="0" w:color="CCCCCC"/>
              <w:right w:val="single" w:sz="4" w:space="0" w:color="CCCCCC"/>
            </w:tcBorders>
            <w:vAlign w:val="center"/>
          </w:tcPr>
          <w:p w14:paraId="7EF480FD" w14:textId="77777777" w:rsidR="00BB0B43" w:rsidRDefault="00000000" w:rsidP="00960C19">
            <w:pPr>
              <w:spacing w:after="0" w:line="240" w:lineRule="auto"/>
              <w:jc w:val="center"/>
            </w:pPr>
            <w:r>
              <w:rPr>
                <w:b/>
                <w:color w:val="C0392B"/>
                <w:sz w:val="20"/>
              </w:rPr>
              <w:t>C</w:t>
            </w:r>
          </w:p>
        </w:tc>
        <w:tc>
          <w:tcPr>
            <w:tcW w:w="1129" w:type="pct"/>
            <w:tcBorders>
              <w:top w:val="single" w:sz="4" w:space="0" w:color="CCCCCC"/>
              <w:left w:val="single" w:sz="4" w:space="0" w:color="CCCCCC"/>
              <w:bottom w:val="single" w:sz="4" w:space="0" w:color="CCCCCC"/>
              <w:right w:val="single" w:sz="4" w:space="0" w:color="CCCCCC"/>
            </w:tcBorders>
            <w:shd w:val="clear" w:color="auto" w:fill="EAF1DD" w:themeFill="accent3" w:themeFillTint="33"/>
            <w:vAlign w:val="center"/>
          </w:tcPr>
          <w:p w14:paraId="05055AAE" w14:textId="77777777" w:rsidR="00BB0B43" w:rsidRDefault="00000000" w:rsidP="00960C19">
            <w:pPr>
              <w:spacing w:after="0" w:line="240" w:lineRule="auto"/>
              <w:jc w:val="center"/>
            </w:pPr>
            <w:r>
              <w:rPr>
                <w:b/>
                <w:color w:val="C0392B"/>
                <w:sz w:val="20"/>
              </w:rPr>
              <w:t>C</w:t>
            </w:r>
          </w:p>
        </w:tc>
      </w:tr>
      <w:tr w:rsidR="00BB0B43" w14:paraId="37186EC8" w14:textId="77777777" w:rsidTr="00D44EC5">
        <w:trPr>
          <w:trHeight w:val="170"/>
        </w:trPr>
        <w:tc>
          <w:tcPr>
            <w:tcW w:w="645" w:type="pct"/>
            <w:tcBorders>
              <w:top w:val="single" w:sz="4" w:space="0" w:color="CCCCCC"/>
              <w:left w:val="single" w:sz="4" w:space="0" w:color="CCCCCC"/>
              <w:bottom w:val="single" w:sz="4" w:space="0" w:color="CCCCCC"/>
              <w:right w:val="single" w:sz="4" w:space="0" w:color="CCCCCC"/>
            </w:tcBorders>
            <w:vAlign w:val="center"/>
          </w:tcPr>
          <w:p w14:paraId="4668F10A" w14:textId="77777777" w:rsidR="00BB0B43" w:rsidRDefault="00000000" w:rsidP="00960C19">
            <w:pPr>
              <w:spacing w:after="0" w:line="240" w:lineRule="auto"/>
              <w:jc w:val="center"/>
            </w:pPr>
            <w:r>
              <w:rPr>
                <w:sz w:val="20"/>
              </w:rPr>
              <w:t>2020</w:t>
            </w:r>
          </w:p>
        </w:tc>
        <w:tc>
          <w:tcPr>
            <w:tcW w:w="1129" w:type="pct"/>
            <w:tcBorders>
              <w:top w:val="single" w:sz="4" w:space="0" w:color="CCCCCC"/>
              <w:left w:val="single" w:sz="4" w:space="0" w:color="CCCCCC"/>
              <w:bottom w:val="single" w:sz="4" w:space="0" w:color="CCCCCC"/>
              <w:right w:val="single" w:sz="4" w:space="0" w:color="CCCCCC"/>
            </w:tcBorders>
            <w:vAlign w:val="center"/>
          </w:tcPr>
          <w:p w14:paraId="42F3D64A" w14:textId="77777777" w:rsidR="00BB0B43" w:rsidRDefault="00000000" w:rsidP="00960C19">
            <w:pPr>
              <w:spacing w:after="0" w:line="240" w:lineRule="auto"/>
              <w:jc w:val="center"/>
            </w:pPr>
            <w:r>
              <w:rPr>
                <w:b/>
                <w:color w:val="2E7D32"/>
                <w:sz w:val="20"/>
              </w:rPr>
              <w:t>A</w:t>
            </w:r>
          </w:p>
        </w:tc>
        <w:tc>
          <w:tcPr>
            <w:tcW w:w="1129" w:type="pct"/>
            <w:tcBorders>
              <w:top w:val="single" w:sz="4" w:space="0" w:color="CCCCCC"/>
              <w:left w:val="single" w:sz="4" w:space="0" w:color="CCCCCC"/>
              <w:bottom w:val="single" w:sz="4" w:space="0" w:color="CCCCCC"/>
              <w:right w:val="single" w:sz="4" w:space="0" w:color="CCCCCC"/>
            </w:tcBorders>
            <w:vAlign w:val="center"/>
          </w:tcPr>
          <w:p w14:paraId="1F709D91" w14:textId="77777777" w:rsidR="00BB0B43" w:rsidRDefault="00000000" w:rsidP="00960C19">
            <w:pPr>
              <w:spacing w:after="0" w:line="240" w:lineRule="auto"/>
              <w:jc w:val="center"/>
            </w:pPr>
            <w:r>
              <w:rPr>
                <w:b/>
                <w:color w:val="C0392B"/>
                <w:sz w:val="20"/>
              </w:rPr>
              <w:t>C</w:t>
            </w:r>
          </w:p>
        </w:tc>
        <w:tc>
          <w:tcPr>
            <w:tcW w:w="968" w:type="pct"/>
            <w:tcBorders>
              <w:top w:val="single" w:sz="4" w:space="0" w:color="CCCCCC"/>
              <w:left w:val="single" w:sz="4" w:space="0" w:color="CCCCCC"/>
              <w:bottom w:val="single" w:sz="4" w:space="0" w:color="CCCCCC"/>
              <w:right w:val="single" w:sz="4" w:space="0" w:color="CCCCCC"/>
            </w:tcBorders>
            <w:vAlign w:val="center"/>
          </w:tcPr>
          <w:p w14:paraId="3E597E7F" w14:textId="77777777" w:rsidR="00BB0B43" w:rsidRDefault="00000000" w:rsidP="00960C19">
            <w:pPr>
              <w:spacing w:after="0" w:line="240" w:lineRule="auto"/>
              <w:jc w:val="center"/>
            </w:pPr>
            <w:r>
              <w:rPr>
                <w:b/>
                <w:color w:val="C0392B"/>
                <w:sz w:val="20"/>
              </w:rPr>
              <w:t>C</w:t>
            </w:r>
          </w:p>
        </w:tc>
        <w:tc>
          <w:tcPr>
            <w:tcW w:w="1129" w:type="pct"/>
            <w:tcBorders>
              <w:top w:val="single" w:sz="4" w:space="0" w:color="CCCCCC"/>
              <w:left w:val="single" w:sz="4" w:space="0" w:color="CCCCCC"/>
              <w:bottom w:val="single" w:sz="4" w:space="0" w:color="CCCCCC"/>
              <w:right w:val="single" w:sz="4" w:space="0" w:color="CCCCCC"/>
            </w:tcBorders>
            <w:shd w:val="clear" w:color="auto" w:fill="EAF1DD" w:themeFill="accent3" w:themeFillTint="33"/>
            <w:vAlign w:val="center"/>
          </w:tcPr>
          <w:p w14:paraId="0A56982B" w14:textId="77777777" w:rsidR="00BB0B43" w:rsidRDefault="00000000" w:rsidP="00960C19">
            <w:pPr>
              <w:spacing w:after="0" w:line="240" w:lineRule="auto"/>
              <w:jc w:val="center"/>
            </w:pPr>
            <w:r>
              <w:rPr>
                <w:b/>
                <w:color w:val="C0392B"/>
                <w:sz w:val="20"/>
              </w:rPr>
              <w:t>C</w:t>
            </w:r>
          </w:p>
        </w:tc>
      </w:tr>
      <w:tr w:rsidR="00BB0B43" w14:paraId="19F69424" w14:textId="77777777" w:rsidTr="00D44EC5">
        <w:trPr>
          <w:trHeight w:val="170"/>
        </w:trPr>
        <w:tc>
          <w:tcPr>
            <w:tcW w:w="645" w:type="pct"/>
            <w:tcBorders>
              <w:top w:val="single" w:sz="4" w:space="0" w:color="CCCCCC"/>
              <w:left w:val="single" w:sz="4" w:space="0" w:color="CCCCCC"/>
              <w:bottom w:val="single" w:sz="4" w:space="0" w:color="CCCCCC"/>
              <w:right w:val="single" w:sz="4" w:space="0" w:color="CCCCCC"/>
            </w:tcBorders>
            <w:vAlign w:val="center"/>
          </w:tcPr>
          <w:p w14:paraId="3F5EBB3C" w14:textId="77777777" w:rsidR="00BB0B43" w:rsidRDefault="00000000" w:rsidP="00960C19">
            <w:pPr>
              <w:spacing w:after="0" w:line="240" w:lineRule="auto"/>
              <w:jc w:val="center"/>
            </w:pPr>
            <w:r>
              <w:rPr>
                <w:sz w:val="20"/>
              </w:rPr>
              <w:t>2021</w:t>
            </w:r>
          </w:p>
        </w:tc>
        <w:tc>
          <w:tcPr>
            <w:tcW w:w="1129" w:type="pct"/>
            <w:tcBorders>
              <w:top w:val="single" w:sz="4" w:space="0" w:color="CCCCCC"/>
              <w:left w:val="single" w:sz="4" w:space="0" w:color="CCCCCC"/>
              <w:bottom w:val="single" w:sz="4" w:space="0" w:color="CCCCCC"/>
              <w:right w:val="single" w:sz="4" w:space="0" w:color="CCCCCC"/>
            </w:tcBorders>
            <w:vAlign w:val="center"/>
          </w:tcPr>
          <w:p w14:paraId="3041B8B3" w14:textId="77777777" w:rsidR="00BB0B43" w:rsidRDefault="00000000" w:rsidP="00960C19">
            <w:pPr>
              <w:spacing w:after="0" w:line="240" w:lineRule="auto"/>
              <w:jc w:val="center"/>
            </w:pPr>
            <w:r>
              <w:rPr>
                <w:b/>
                <w:color w:val="2E7D32"/>
                <w:sz w:val="20"/>
              </w:rPr>
              <w:t>A</w:t>
            </w:r>
          </w:p>
        </w:tc>
        <w:tc>
          <w:tcPr>
            <w:tcW w:w="1129" w:type="pct"/>
            <w:tcBorders>
              <w:top w:val="single" w:sz="4" w:space="0" w:color="CCCCCC"/>
              <w:left w:val="single" w:sz="4" w:space="0" w:color="CCCCCC"/>
              <w:bottom w:val="single" w:sz="4" w:space="0" w:color="CCCCCC"/>
              <w:right w:val="single" w:sz="4" w:space="0" w:color="CCCCCC"/>
            </w:tcBorders>
            <w:vAlign w:val="center"/>
          </w:tcPr>
          <w:p w14:paraId="645784F0" w14:textId="77777777" w:rsidR="00BB0B43" w:rsidRDefault="00000000" w:rsidP="00960C19">
            <w:pPr>
              <w:spacing w:after="0" w:line="240" w:lineRule="auto"/>
              <w:jc w:val="center"/>
            </w:pPr>
            <w:r>
              <w:rPr>
                <w:b/>
                <w:color w:val="C47A10"/>
                <w:sz w:val="20"/>
              </w:rPr>
              <w:t>B</w:t>
            </w:r>
          </w:p>
        </w:tc>
        <w:tc>
          <w:tcPr>
            <w:tcW w:w="968" w:type="pct"/>
            <w:tcBorders>
              <w:top w:val="single" w:sz="4" w:space="0" w:color="CCCCCC"/>
              <w:left w:val="single" w:sz="4" w:space="0" w:color="CCCCCC"/>
              <w:bottom w:val="single" w:sz="4" w:space="0" w:color="CCCCCC"/>
              <w:right w:val="single" w:sz="4" w:space="0" w:color="CCCCCC"/>
            </w:tcBorders>
            <w:vAlign w:val="center"/>
          </w:tcPr>
          <w:p w14:paraId="0C93EA32" w14:textId="77777777" w:rsidR="00BB0B43" w:rsidRDefault="00000000" w:rsidP="00960C19">
            <w:pPr>
              <w:spacing w:after="0" w:line="240" w:lineRule="auto"/>
              <w:jc w:val="center"/>
            </w:pPr>
            <w:r>
              <w:rPr>
                <w:b/>
                <w:color w:val="2E7D32"/>
                <w:sz w:val="20"/>
              </w:rPr>
              <w:t>A</w:t>
            </w:r>
          </w:p>
        </w:tc>
        <w:tc>
          <w:tcPr>
            <w:tcW w:w="1129" w:type="pct"/>
            <w:tcBorders>
              <w:top w:val="single" w:sz="4" w:space="0" w:color="CCCCCC"/>
              <w:left w:val="single" w:sz="4" w:space="0" w:color="CCCCCC"/>
              <w:bottom w:val="single" w:sz="4" w:space="0" w:color="CCCCCC"/>
              <w:right w:val="single" w:sz="4" w:space="0" w:color="CCCCCC"/>
            </w:tcBorders>
            <w:shd w:val="clear" w:color="auto" w:fill="EAF1DD" w:themeFill="accent3" w:themeFillTint="33"/>
            <w:vAlign w:val="center"/>
          </w:tcPr>
          <w:p w14:paraId="218C2F12" w14:textId="77777777" w:rsidR="00BB0B43" w:rsidRDefault="00000000" w:rsidP="00960C19">
            <w:pPr>
              <w:spacing w:after="0" w:line="240" w:lineRule="auto"/>
              <w:jc w:val="center"/>
            </w:pPr>
            <w:r>
              <w:rPr>
                <w:b/>
                <w:color w:val="C47A10"/>
                <w:sz w:val="20"/>
              </w:rPr>
              <w:t>B</w:t>
            </w:r>
          </w:p>
        </w:tc>
      </w:tr>
      <w:tr w:rsidR="00BB0B43" w14:paraId="6E338533" w14:textId="77777777" w:rsidTr="00D44EC5">
        <w:trPr>
          <w:trHeight w:val="170"/>
        </w:trPr>
        <w:tc>
          <w:tcPr>
            <w:tcW w:w="645" w:type="pct"/>
            <w:tcBorders>
              <w:top w:val="single" w:sz="4" w:space="0" w:color="CCCCCC"/>
              <w:left w:val="single" w:sz="4" w:space="0" w:color="CCCCCC"/>
              <w:bottom w:val="single" w:sz="4" w:space="0" w:color="CCCCCC"/>
              <w:right w:val="single" w:sz="4" w:space="0" w:color="CCCCCC"/>
            </w:tcBorders>
            <w:vAlign w:val="center"/>
          </w:tcPr>
          <w:p w14:paraId="239DF150" w14:textId="77777777" w:rsidR="00BB0B43" w:rsidRDefault="00000000" w:rsidP="00960C19">
            <w:pPr>
              <w:spacing w:after="0" w:line="240" w:lineRule="auto"/>
              <w:jc w:val="center"/>
            </w:pPr>
            <w:r>
              <w:rPr>
                <w:sz w:val="20"/>
              </w:rPr>
              <w:t>2022</w:t>
            </w:r>
          </w:p>
        </w:tc>
        <w:tc>
          <w:tcPr>
            <w:tcW w:w="1129" w:type="pct"/>
            <w:tcBorders>
              <w:top w:val="single" w:sz="4" w:space="0" w:color="CCCCCC"/>
              <w:left w:val="single" w:sz="4" w:space="0" w:color="CCCCCC"/>
              <w:bottom w:val="single" w:sz="4" w:space="0" w:color="CCCCCC"/>
              <w:right w:val="single" w:sz="4" w:space="0" w:color="CCCCCC"/>
            </w:tcBorders>
            <w:vAlign w:val="center"/>
          </w:tcPr>
          <w:p w14:paraId="7D3F416E" w14:textId="77777777" w:rsidR="00BB0B43" w:rsidRDefault="00000000" w:rsidP="00960C19">
            <w:pPr>
              <w:spacing w:after="0" w:line="240" w:lineRule="auto"/>
              <w:jc w:val="center"/>
            </w:pPr>
            <w:r>
              <w:rPr>
                <w:b/>
                <w:color w:val="2E7D32"/>
                <w:sz w:val="20"/>
              </w:rPr>
              <w:t>A</w:t>
            </w:r>
          </w:p>
        </w:tc>
        <w:tc>
          <w:tcPr>
            <w:tcW w:w="1129" w:type="pct"/>
            <w:tcBorders>
              <w:top w:val="single" w:sz="4" w:space="0" w:color="CCCCCC"/>
              <w:left w:val="single" w:sz="4" w:space="0" w:color="CCCCCC"/>
              <w:bottom w:val="single" w:sz="4" w:space="0" w:color="CCCCCC"/>
              <w:right w:val="single" w:sz="4" w:space="0" w:color="CCCCCC"/>
            </w:tcBorders>
            <w:vAlign w:val="center"/>
          </w:tcPr>
          <w:p w14:paraId="7EBE2214" w14:textId="77777777" w:rsidR="00BB0B43" w:rsidRDefault="00000000" w:rsidP="00960C19">
            <w:pPr>
              <w:spacing w:after="0" w:line="240" w:lineRule="auto"/>
              <w:jc w:val="center"/>
            </w:pPr>
            <w:r>
              <w:rPr>
                <w:b/>
                <w:color w:val="C47A10"/>
                <w:sz w:val="20"/>
              </w:rPr>
              <w:t>B</w:t>
            </w:r>
          </w:p>
        </w:tc>
        <w:tc>
          <w:tcPr>
            <w:tcW w:w="968" w:type="pct"/>
            <w:tcBorders>
              <w:top w:val="single" w:sz="4" w:space="0" w:color="CCCCCC"/>
              <w:left w:val="single" w:sz="4" w:space="0" w:color="CCCCCC"/>
              <w:bottom w:val="single" w:sz="4" w:space="0" w:color="CCCCCC"/>
              <w:right w:val="single" w:sz="4" w:space="0" w:color="CCCCCC"/>
            </w:tcBorders>
            <w:vAlign w:val="center"/>
          </w:tcPr>
          <w:p w14:paraId="5F2E42B0" w14:textId="77777777" w:rsidR="00BB0B43" w:rsidRDefault="00000000" w:rsidP="00960C19">
            <w:pPr>
              <w:spacing w:after="0" w:line="240" w:lineRule="auto"/>
              <w:jc w:val="center"/>
            </w:pPr>
            <w:r>
              <w:rPr>
                <w:b/>
                <w:color w:val="2E7D32"/>
                <w:sz w:val="20"/>
              </w:rPr>
              <w:t>A</w:t>
            </w:r>
          </w:p>
        </w:tc>
        <w:tc>
          <w:tcPr>
            <w:tcW w:w="1129" w:type="pct"/>
            <w:tcBorders>
              <w:top w:val="single" w:sz="4" w:space="0" w:color="CCCCCC"/>
              <w:left w:val="single" w:sz="4" w:space="0" w:color="CCCCCC"/>
              <w:bottom w:val="single" w:sz="4" w:space="0" w:color="CCCCCC"/>
              <w:right w:val="single" w:sz="4" w:space="0" w:color="CCCCCC"/>
            </w:tcBorders>
            <w:shd w:val="clear" w:color="auto" w:fill="EAF1DD" w:themeFill="accent3" w:themeFillTint="33"/>
            <w:vAlign w:val="center"/>
          </w:tcPr>
          <w:p w14:paraId="0CC149A9" w14:textId="77777777" w:rsidR="00BB0B43" w:rsidRDefault="00000000" w:rsidP="00960C19">
            <w:pPr>
              <w:spacing w:after="0" w:line="240" w:lineRule="auto"/>
              <w:jc w:val="center"/>
            </w:pPr>
            <w:r>
              <w:rPr>
                <w:b/>
                <w:color w:val="C47A10"/>
                <w:sz w:val="20"/>
              </w:rPr>
              <w:t>B</w:t>
            </w:r>
          </w:p>
        </w:tc>
      </w:tr>
      <w:tr w:rsidR="00BB0B43" w14:paraId="6BC5EAA5" w14:textId="77777777" w:rsidTr="00D44EC5">
        <w:trPr>
          <w:trHeight w:val="170"/>
        </w:trPr>
        <w:tc>
          <w:tcPr>
            <w:tcW w:w="645" w:type="pct"/>
            <w:tcBorders>
              <w:top w:val="single" w:sz="4" w:space="0" w:color="CCCCCC"/>
              <w:left w:val="single" w:sz="4" w:space="0" w:color="CCCCCC"/>
              <w:bottom w:val="single" w:sz="4" w:space="0" w:color="CCCCCC"/>
              <w:right w:val="single" w:sz="4" w:space="0" w:color="CCCCCC"/>
            </w:tcBorders>
            <w:vAlign w:val="center"/>
          </w:tcPr>
          <w:p w14:paraId="4989E731" w14:textId="77777777" w:rsidR="00BB0B43" w:rsidRDefault="00000000" w:rsidP="00960C19">
            <w:pPr>
              <w:spacing w:after="0" w:line="240" w:lineRule="auto"/>
              <w:jc w:val="center"/>
            </w:pPr>
            <w:r>
              <w:rPr>
                <w:sz w:val="20"/>
              </w:rPr>
              <w:t>2023</w:t>
            </w:r>
          </w:p>
        </w:tc>
        <w:tc>
          <w:tcPr>
            <w:tcW w:w="1129" w:type="pct"/>
            <w:tcBorders>
              <w:top w:val="single" w:sz="4" w:space="0" w:color="CCCCCC"/>
              <w:left w:val="single" w:sz="4" w:space="0" w:color="CCCCCC"/>
              <w:bottom w:val="single" w:sz="4" w:space="0" w:color="CCCCCC"/>
              <w:right w:val="single" w:sz="4" w:space="0" w:color="CCCCCC"/>
            </w:tcBorders>
            <w:vAlign w:val="center"/>
          </w:tcPr>
          <w:p w14:paraId="4A7731C5" w14:textId="77777777" w:rsidR="00BB0B43" w:rsidRDefault="00000000" w:rsidP="00960C19">
            <w:pPr>
              <w:spacing w:after="0" w:line="240" w:lineRule="auto"/>
              <w:jc w:val="center"/>
            </w:pPr>
            <w:r>
              <w:rPr>
                <w:b/>
                <w:color w:val="2E7D32"/>
                <w:sz w:val="20"/>
              </w:rPr>
              <w:t>A</w:t>
            </w:r>
          </w:p>
        </w:tc>
        <w:tc>
          <w:tcPr>
            <w:tcW w:w="1129" w:type="pct"/>
            <w:tcBorders>
              <w:top w:val="single" w:sz="4" w:space="0" w:color="CCCCCC"/>
              <w:left w:val="single" w:sz="4" w:space="0" w:color="CCCCCC"/>
              <w:bottom w:val="single" w:sz="4" w:space="0" w:color="CCCCCC"/>
              <w:right w:val="single" w:sz="4" w:space="0" w:color="CCCCCC"/>
            </w:tcBorders>
            <w:vAlign w:val="center"/>
          </w:tcPr>
          <w:p w14:paraId="59BD2CC7" w14:textId="77777777" w:rsidR="00BB0B43" w:rsidRDefault="00000000" w:rsidP="00960C19">
            <w:pPr>
              <w:spacing w:after="0" w:line="240" w:lineRule="auto"/>
              <w:jc w:val="center"/>
            </w:pPr>
            <w:r>
              <w:rPr>
                <w:b/>
                <w:color w:val="C47A10"/>
                <w:sz w:val="20"/>
              </w:rPr>
              <w:t>B</w:t>
            </w:r>
          </w:p>
        </w:tc>
        <w:tc>
          <w:tcPr>
            <w:tcW w:w="968" w:type="pct"/>
            <w:tcBorders>
              <w:top w:val="single" w:sz="4" w:space="0" w:color="CCCCCC"/>
              <w:left w:val="single" w:sz="4" w:space="0" w:color="CCCCCC"/>
              <w:bottom w:val="single" w:sz="4" w:space="0" w:color="CCCCCC"/>
              <w:right w:val="single" w:sz="4" w:space="0" w:color="CCCCCC"/>
            </w:tcBorders>
            <w:vAlign w:val="center"/>
          </w:tcPr>
          <w:p w14:paraId="496BC2CE" w14:textId="77777777" w:rsidR="00BB0B43" w:rsidRDefault="00000000" w:rsidP="00960C19">
            <w:pPr>
              <w:spacing w:after="0" w:line="240" w:lineRule="auto"/>
              <w:jc w:val="center"/>
            </w:pPr>
            <w:r>
              <w:rPr>
                <w:b/>
                <w:color w:val="2E7D32"/>
                <w:sz w:val="20"/>
              </w:rPr>
              <w:t>A</w:t>
            </w:r>
          </w:p>
        </w:tc>
        <w:tc>
          <w:tcPr>
            <w:tcW w:w="1129" w:type="pct"/>
            <w:tcBorders>
              <w:top w:val="single" w:sz="4" w:space="0" w:color="CCCCCC"/>
              <w:left w:val="single" w:sz="4" w:space="0" w:color="CCCCCC"/>
              <w:bottom w:val="single" w:sz="4" w:space="0" w:color="CCCCCC"/>
              <w:right w:val="single" w:sz="4" w:space="0" w:color="CCCCCC"/>
            </w:tcBorders>
            <w:shd w:val="clear" w:color="auto" w:fill="EAF1DD" w:themeFill="accent3" w:themeFillTint="33"/>
            <w:vAlign w:val="center"/>
          </w:tcPr>
          <w:p w14:paraId="461D43FC" w14:textId="77777777" w:rsidR="00BB0B43" w:rsidRDefault="00000000" w:rsidP="00960C19">
            <w:pPr>
              <w:spacing w:after="0" w:line="240" w:lineRule="auto"/>
              <w:jc w:val="center"/>
            </w:pPr>
            <w:r>
              <w:rPr>
                <w:b/>
                <w:color w:val="C47A10"/>
                <w:sz w:val="20"/>
              </w:rPr>
              <w:t>B</w:t>
            </w:r>
          </w:p>
        </w:tc>
      </w:tr>
      <w:tr w:rsidR="00BB0B43" w14:paraId="63A0A1B4" w14:textId="77777777" w:rsidTr="00D44EC5">
        <w:trPr>
          <w:trHeight w:val="170"/>
        </w:trPr>
        <w:tc>
          <w:tcPr>
            <w:tcW w:w="645" w:type="pct"/>
            <w:tcBorders>
              <w:top w:val="single" w:sz="4" w:space="0" w:color="CCCCCC"/>
              <w:left w:val="single" w:sz="4" w:space="0" w:color="CCCCCC"/>
              <w:bottom w:val="single" w:sz="4" w:space="0" w:color="1B5E20"/>
              <w:right w:val="single" w:sz="4" w:space="0" w:color="CCCCCC"/>
            </w:tcBorders>
            <w:vAlign w:val="center"/>
          </w:tcPr>
          <w:p w14:paraId="22C79C73" w14:textId="77777777" w:rsidR="00BB0B43" w:rsidRDefault="00000000" w:rsidP="00960C19">
            <w:pPr>
              <w:spacing w:after="0" w:line="240" w:lineRule="auto"/>
              <w:jc w:val="center"/>
            </w:pPr>
            <w:r>
              <w:rPr>
                <w:sz w:val="20"/>
              </w:rPr>
              <w:t>2024</w:t>
            </w:r>
          </w:p>
        </w:tc>
        <w:tc>
          <w:tcPr>
            <w:tcW w:w="1129" w:type="pct"/>
            <w:tcBorders>
              <w:top w:val="single" w:sz="4" w:space="0" w:color="CCCCCC"/>
              <w:left w:val="single" w:sz="4" w:space="0" w:color="CCCCCC"/>
              <w:bottom w:val="single" w:sz="4" w:space="0" w:color="1B5E20"/>
              <w:right w:val="single" w:sz="4" w:space="0" w:color="CCCCCC"/>
            </w:tcBorders>
            <w:vAlign w:val="center"/>
          </w:tcPr>
          <w:p w14:paraId="5EC9BFD1" w14:textId="77777777" w:rsidR="00BB0B43" w:rsidRDefault="00000000" w:rsidP="00960C19">
            <w:pPr>
              <w:spacing w:after="0" w:line="240" w:lineRule="auto"/>
              <w:jc w:val="center"/>
            </w:pPr>
            <w:r>
              <w:rPr>
                <w:b/>
                <w:color w:val="2E7D32"/>
                <w:sz w:val="20"/>
              </w:rPr>
              <w:t>A</w:t>
            </w:r>
          </w:p>
        </w:tc>
        <w:tc>
          <w:tcPr>
            <w:tcW w:w="1129" w:type="pct"/>
            <w:tcBorders>
              <w:top w:val="single" w:sz="4" w:space="0" w:color="CCCCCC"/>
              <w:left w:val="single" w:sz="4" w:space="0" w:color="CCCCCC"/>
              <w:bottom w:val="single" w:sz="4" w:space="0" w:color="1B5E20"/>
              <w:right w:val="single" w:sz="4" w:space="0" w:color="CCCCCC"/>
            </w:tcBorders>
            <w:vAlign w:val="center"/>
          </w:tcPr>
          <w:p w14:paraId="7CD09F2C" w14:textId="77777777" w:rsidR="00BB0B43" w:rsidRDefault="00000000" w:rsidP="00960C19">
            <w:pPr>
              <w:spacing w:after="0" w:line="240" w:lineRule="auto"/>
              <w:jc w:val="center"/>
            </w:pPr>
            <w:r>
              <w:rPr>
                <w:b/>
                <w:color w:val="C0392B"/>
                <w:sz w:val="20"/>
              </w:rPr>
              <w:t>C</w:t>
            </w:r>
          </w:p>
        </w:tc>
        <w:tc>
          <w:tcPr>
            <w:tcW w:w="968" w:type="pct"/>
            <w:tcBorders>
              <w:top w:val="single" w:sz="4" w:space="0" w:color="CCCCCC"/>
              <w:left w:val="single" w:sz="4" w:space="0" w:color="CCCCCC"/>
              <w:bottom w:val="single" w:sz="4" w:space="0" w:color="1B5E20"/>
              <w:right w:val="single" w:sz="4" w:space="0" w:color="CCCCCC"/>
            </w:tcBorders>
            <w:vAlign w:val="center"/>
          </w:tcPr>
          <w:p w14:paraId="6A774A8D" w14:textId="77777777" w:rsidR="00BB0B43" w:rsidRDefault="00000000" w:rsidP="00960C19">
            <w:pPr>
              <w:spacing w:after="0" w:line="240" w:lineRule="auto"/>
              <w:jc w:val="center"/>
            </w:pPr>
            <w:r>
              <w:rPr>
                <w:b/>
                <w:color w:val="C47A10"/>
                <w:sz w:val="20"/>
              </w:rPr>
              <w:t>B</w:t>
            </w:r>
          </w:p>
        </w:tc>
        <w:tc>
          <w:tcPr>
            <w:tcW w:w="1129" w:type="pct"/>
            <w:tcBorders>
              <w:top w:val="single" w:sz="4" w:space="0" w:color="CCCCCC"/>
              <w:left w:val="single" w:sz="4" w:space="0" w:color="CCCCCC"/>
              <w:bottom w:val="single" w:sz="4" w:space="0" w:color="1B5E20"/>
              <w:right w:val="single" w:sz="4" w:space="0" w:color="CCCCCC"/>
            </w:tcBorders>
            <w:shd w:val="clear" w:color="auto" w:fill="EAF1DD" w:themeFill="accent3" w:themeFillTint="33"/>
            <w:vAlign w:val="center"/>
          </w:tcPr>
          <w:p w14:paraId="7D73EEE4" w14:textId="77777777" w:rsidR="00BB0B43" w:rsidRDefault="00000000" w:rsidP="00960C19">
            <w:pPr>
              <w:spacing w:after="0" w:line="240" w:lineRule="auto"/>
              <w:jc w:val="center"/>
            </w:pPr>
            <w:r>
              <w:rPr>
                <w:b/>
                <w:color w:val="C0392B"/>
                <w:sz w:val="20"/>
              </w:rPr>
              <w:t>C</w:t>
            </w:r>
          </w:p>
        </w:tc>
      </w:tr>
      <w:tr w:rsidR="00BB0B43" w14:paraId="463C036B" w14:textId="77777777" w:rsidTr="00D44EC5">
        <w:trPr>
          <w:trHeight w:val="170"/>
        </w:trPr>
        <w:tc>
          <w:tcPr>
            <w:tcW w:w="645" w:type="pct"/>
            <w:tcBorders>
              <w:top w:val="single" w:sz="4" w:space="0" w:color="1B5E20"/>
              <w:left w:val="single" w:sz="4" w:space="0" w:color="1B5E20"/>
              <w:bottom w:val="single" w:sz="4" w:space="0" w:color="1B5E20"/>
              <w:right w:val="single" w:sz="4" w:space="0" w:color="1B5E20"/>
            </w:tcBorders>
            <w:vAlign w:val="center"/>
          </w:tcPr>
          <w:p w14:paraId="2468606B" w14:textId="77777777" w:rsidR="00BB0B43" w:rsidRPr="00897BBB" w:rsidRDefault="00000000" w:rsidP="00960C19">
            <w:pPr>
              <w:spacing w:after="0" w:line="240" w:lineRule="auto"/>
              <w:jc w:val="center"/>
              <w:rPr>
                <w:b/>
                <w:bCs/>
              </w:rPr>
            </w:pPr>
            <w:r w:rsidRPr="00897BBB">
              <w:rPr>
                <w:b/>
                <w:bCs/>
                <w:sz w:val="20"/>
              </w:rPr>
              <w:t>2025</w:t>
            </w:r>
          </w:p>
        </w:tc>
        <w:tc>
          <w:tcPr>
            <w:tcW w:w="1129" w:type="pct"/>
            <w:tcBorders>
              <w:top w:val="single" w:sz="4" w:space="0" w:color="1B5E20"/>
              <w:left w:val="single" w:sz="4" w:space="0" w:color="1B5E20"/>
              <w:bottom w:val="single" w:sz="4" w:space="0" w:color="1B5E20"/>
              <w:right w:val="single" w:sz="4" w:space="0" w:color="1B5E20"/>
            </w:tcBorders>
            <w:vAlign w:val="center"/>
          </w:tcPr>
          <w:p w14:paraId="53479D2C" w14:textId="77777777" w:rsidR="00BB0B43" w:rsidRPr="00897BBB" w:rsidRDefault="00000000" w:rsidP="00960C19">
            <w:pPr>
              <w:spacing w:after="0" w:line="240" w:lineRule="auto"/>
              <w:jc w:val="center"/>
              <w:rPr>
                <w:b/>
                <w:bCs/>
              </w:rPr>
            </w:pPr>
            <w:r w:rsidRPr="00897BBB">
              <w:rPr>
                <w:b/>
                <w:bCs/>
                <w:color w:val="2E7D32"/>
                <w:sz w:val="20"/>
              </w:rPr>
              <w:t>A</w:t>
            </w:r>
          </w:p>
        </w:tc>
        <w:tc>
          <w:tcPr>
            <w:tcW w:w="1129" w:type="pct"/>
            <w:tcBorders>
              <w:top w:val="single" w:sz="4" w:space="0" w:color="1B5E20"/>
              <w:left w:val="single" w:sz="4" w:space="0" w:color="1B5E20"/>
              <w:bottom w:val="single" w:sz="4" w:space="0" w:color="1B5E20"/>
              <w:right w:val="single" w:sz="4" w:space="0" w:color="1B5E20"/>
            </w:tcBorders>
            <w:vAlign w:val="center"/>
          </w:tcPr>
          <w:p w14:paraId="7D657294" w14:textId="77777777" w:rsidR="00BB0B43" w:rsidRPr="00897BBB" w:rsidRDefault="00000000" w:rsidP="00960C19">
            <w:pPr>
              <w:spacing w:after="0" w:line="240" w:lineRule="auto"/>
              <w:jc w:val="center"/>
              <w:rPr>
                <w:b/>
                <w:bCs/>
              </w:rPr>
            </w:pPr>
            <w:r w:rsidRPr="00897BBB">
              <w:rPr>
                <w:b/>
                <w:bCs/>
                <w:color w:val="C0392B"/>
                <w:sz w:val="20"/>
              </w:rPr>
              <w:t>C</w:t>
            </w:r>
          </w:p>
        </w:tc>
        <w:tc>
          <w:tcPr>
            <w:tcW w:w="968" w:type="pct"/>
            <w:tcBorders>
              <w:top w:val="single" w:sz="4" w:space="0" w:color="1B5E20"/>
              <w:left w:val="single" w:sz="4" w:space="0" w:color="1B5E20"/>
              <w:bottom w:val="single" w:sz="4" w:space="0" w:color="1B5E20"/>
              <w:right w:val="single" w:sz="4" w:space="0" w:color="1B5E20"/>
            </w:tcBorders>
            <w:vAlign w:val="center"/>
          </w:tcPr>
          <w:p w14:paraId="37E9908D" w14:textId="77777777" w:rsidR="00BB0B43" w:rsidRPr="00897BBB" w:rsidRDefault="00000000" w:rsidP="00960C19">
            <w:pPr>
              <w:spacing w:after="0" w:line="240" w:lineRule="auto"/>
              <w:jc w:val="center"/>
              <w:rPr>
                <w:b/>
                <w:bCs/>
              </w:rPr>
            </w:pPr>
            <w:r w:rsidRPr="00897BBB">
              <w:rPr>
                <w:b/>
                <w:bCs/>
                <w:color w:val="C47A10"/>
                <w:sz w:val="20"/>
              </w:rPr>
              <w:t>B</w:t>
            </w:r>
          </w:p>
        </w:tc>
        <w:tc>
          <w:tcPr>
            <w:tcW w:w="1129" w:type="pct"/>
            <w:tcBorders>
              <w:top w:val="single" w:sz="4" w:space="0" w:color="1B5E20"/>
              <w:left w:val="single" w:sz="4" w:space="0" w:color="1B5E20"/>
              <w:bottom w:val="single" w:sz="4" w:space="0" w:color="1B5E20"/>
              <w:right w:val="single" w:sz="4" w:space="0" w:color="1B5E20"/>
            </w:tcBorders>
            <w:shd w:val="clear" w:color="auto" w:fill="EAF1DD" w:themeFill="accent3" w:themeFillTint="33"/>
            <w:vAlign w:val="center"/>
          </w:tcPr>
          <w:p w14:paraId="165B4392" w14:textId="77777777" w:rsidR="00BB0B43" w:rsidRPr="00897BBB" w:rsidRDefault="00000000" w:rsidP="00960C19">
            <w:pPr>
              <w:spacing w:after="0" w:line="240" w:lineRule="auto"/>
              <w:jc w:val="center"/>
              <w:rPr>
                <w:b/>
                <w:bCs/>
              </w:rPr>
            </w:pPr>
            <w:r w:rsidRPr="00897BBB">
              <w:rPr>
                <w:b/>
                <w:bCs/>
                <w:color w:val="C0392B"/>
                <w:sz w:val="20"/>
              </w:rPr>
              <w:t>C</w:t>
            </w:r>
          </w:p>
        </w:tc>
      </w:tr>
    </w:tbl>
    <w:p w14:paraId="075BEF60" w14:textId="77777777" w:rsidR="00BB0B43" w:rsidRPr="00897BBB" w:rsidRDefault="00000000" w:rsidP="009816A9">
      <w:pPr>
        <w:jc w:val="both"/>
        <w:rPr>
          <w:sz w:val="20"/>
          <w:szCs w:val="20"/>
        </w:rPr>
      </w:pPr>
      <w:r w:rsidRPr="00897BBB">
        <w:rPr>
          <w:i/>
          <w:color w:val="6B7280"/>
          <w:sz w:val="16"/>
          <w:szCs w:val="20"/>
        </w:rPr>
        <w:t>Fonte: Tesouro Nacional / Tesouro Transparente — CAPAG dos Estados (publicações anuais 2018–2025).</w:t>
      </w:r>
    </w:p>
    <w:p w14:paraId="32F22D4F" w14:textId="77777777" w:rsidR="00BB0B43" w:rsidRDefault="00000000" w:rsidP="009816A9">
      <w:pPr>
        <w:pStyle w:val="Ttulo1"/>
        <w:jc w:val="both"/>
      </w:pPr>
      <w:r>
        <w:rPr>
          <w:color w:val="2E7D32"/>
          <w:sz w:val="32"/>
        </w:rPr>
        <w:t>Disponibilidade de Caixa</w:t>
      </w:r>
    </w:p>
    <w:p w14:paraId="39C40461" w14:textId="60F41299" w:rsidR="00BB0B43" w:rsidRDefault="00000000" w:rsidP="009816A9">
      <w:pPr>
        <w:jc w:val="both"/>
      </w:pPr>
      <w:r>
        <w:t xml:space="preserve">O caixa líquido </w:t>
      </w:r>
      <w:r w:rsidR="007E7FC5">
        <w:t>(após deduzir obrigações financeiras de curto prazo)</w:t>
      </w:r>
      <w:r w:rsidR="007E7FC5">
        <w:t xml:space="preserve"> passou</w:t>
      </w:r>
      <w:r>
        <w:t xml:space="preserve"> de R$ 1,9 bi</w:t>
      </w:r>
      <w:r w:rsidR="00BC7235">
        <w:t>lhão</w:t>
      </w:r>
      <w:r>
        <w:t xml:space="preserve"> em 2021 para R$ 570 mi</w:t>
      </w:r>
      <w:r w:rsidR="00BC7235">
        <w:t>lhões</w:t>
      </w:r>
      <w:r>
        <w:t xml:space="preserve"> em 2025</w:t>
      </w:r>
      <w:r w:rsidR="006D3D5A">
        <w:t>,</w:t>
      </w:r>
      <w:r>
        <w:t xml:space="preserve"> queda de cerca de 70%. </w:t>
      </w:r>
      <w:r w:rsidR="007E7FC5">
        <w:t xml:space="preserve">Quando consideramos apenas </w:t>
      </w:r>
      <w:r>
        <w:t>o saldo de recursos não vinculados</w:t>
      </w:r>
      <w:r w:rsidR="007E7FC5">
        <w:t>,</w:t>
      </w:r>
      <w:r>
        <w:t xml:space="preserve"> a parte </w:t>
      </w:r>
      <w:r w:rsidR="00BC7235">
        <w:t>livre</w:t>
      </w:r>
      <w:r>
        <w:t xml:space="preserve"> do caixa</w:t>
      </w:r>
      <w:r w:rsidR="007E7FC5">
        <w:t>,</w:t>
      </w:r>
      <w:r>
        <w:t xml:space="preserve"> </w:t>
      </w:r>
      <w:r w:rsidR="007E7FC5">
        <w:t xml:space="preserve">o caixa é </w:t>
      </w:r>
      <w:r>
        <w:t>negativo em R$ 877 mi</w:t>
      </w:r>
      <w:r w:rsidR="00BC7235">
        <w:t>lhões</w:t>
      </w:r>
      <w:r>
        <w:t>.</w:t>
      </w:r>
      <w:r w:rsidR="00BC7235">
        <w:t xml:space="preserve"> </w:t>
      </w:r>
    </w:p>
    <w:tbl>
      <w:tblPr>
        <w:tblW w:w="5000" w:type="pct"/>
        <w:tblLook w:val="04A0" w:firstRow="1" w:lastRow="0" w:firstColumn="1" w:lastColumn="0" w:noHBand="0" w:noVBand="1"/>
      </w:tblPr>
      <w:tblGrid>
        <w:gridCol w:w="1274"/>
        <w:gridCol w:w="4458"/>
        <w:gridCol w:w="4456"/>
      </w:tblGrid>
      <w:tr w:rsidR="003749BF" w14:paraId="377E587C" w14:textId="77777777" w:rsidTr="005073B8">
        <w:tc>
          <w:tcPr>
            <w:tcW w:w="625" w:type="pct"/>
            <w:tcBorders>
              <w:top w:val="single" w:sz="4" w:space="0" w:color="2E7D32"/>
              <w:left w:val="single" w:sz="4" w:space="0" w:color="2E7D32"/>
              <w:bottom w:val="single" w:sz="4" w:space="0" w:color="2E7D32"/>
              <w:right w:val="single" w:sz="4" w:space="0" w:color="2E7D32"/>
            </w:tcBorders>
            <w:shd w:val="clear" w:color="auto" w:fill="2E7D32"/>
            <w:vAlign w:val="center"/>
          </w:tcPr>
          <w:p w14:paraId="3838A51E" w14:textId="77777777" w:rsidR="003749BF" w:rsidRDefault="003749BF" w:rsidP="005073B8">
            <w:pPr>
              <w:spacing w:after="0" w:line="240" w:lineRule="auto"/>
              <w:jc w:val="center"/>
            </w:pPr>
            <w:r>
              <w:rPr>
                <w:b/>
                <w:color w:val="FFFFFF"/>
                <w:sz w:val="20"/>
              </w:rPr>
              <w:t>Ano</w:t>
            </w:r>
          </w:p>
        </w:tc>
        <w:tc>
          <w:tcPr>
            <w:tcW w:w="2188" w:type="pct"/>
            <w:tcBorders>
              <w:top w:val="single" w:sz="4" w:space="0" w:color="2E7D32"/>
              <w:left w:val="single" w:sz="4" w:space="0" w:color="2E7D32"/>
              <w:bottom w:val="single" w:sz="4" w:space="0" w:color="2E7D32"/>
              <w:right w:val="single" w:sz="4" w:space="0" w:color="2E7D32"/>
            </w:tcBorders>
            <w:shd w:val="clear" w:color="auto" w:fill="2E7D32"/>
            <w:vAlign w:val="center"/>
          </w:tcPr>
          <w:p w14:paraId="7023513A" w14:textId="77777777" w:rsidR="003749BF" w:rsidRDefault="003749BF" w:rsidP="005073B8">
            <w:pPr>
              <w:spacing w:after="0" w:line="240" w:lineRule="auto"/>
              <w:jc w:val="center"/>
            </w:pPr>
            <w:r>
              <w:rPr>
                <w:b/>
                <w:color w:val="FFFFFF"/>
                <w:sz w:val="20"/>
              </w:rPr>
              <w:t>Caixa líquido (após RPNP)</w:t>
            </w:r>
          </w:p>
        </w:tc>
        <w:tc>
          <w:tcPr>
            <w:tcW w:w="2187" w:type="pct"/>
            <w:tcBorders>
              <w:top w:val="single" w:sz="4" w:space="0" w:color="2E7D32"/>
              <w:left w:val="single" w:sz="4" w:space="0" w:color="2E7D32"/>
              <w:bottom w:val="single" w:sz="4" w:space="0" w:color="2E7D32"/>
              <w:right w:val="single" w:sz="4" w:space="0" w:color="2E7D32"/>
            </w:tcBorders>
            <w:shd w:val="clear" w:color="auto" w:fill="2E7D32"/>
            <w:vAlign w:val="center"/>
          </w:tcPr>
          <w:p w14:paraId="15F01C67" w14:textId="77777777" w:rsidR="003749BF" w:rsidRDefault="003749BF" w:rsidP="005073B8">
            <w:pPr>
              <w:spacing w:after="0" w:line="240" w:lineRule="auto"/>
              <w:jc w:val="center"/>
            </w:pPr>
            <w:r>
              <w:rPr>
                <w:b/>
                <w:color w:val="FFFFFF"/>
                <w:sz w:val="20"/>
              </w:rPr>
              <w:t>Rec. não vinculados</w:t>
            </w:r>
          </w:p>
        </w:tc>
      </w:tr>
      <w:tr w:rsidR="003749BF" w14:paraId="57BC89E3" w14:textId="77777777" w:rsidTr="005073B8">
        <w:tc>
          <w:tcPr>
            <w:tcW w:w="625" w:type="pct"/>
            <w:tcBorders>
              <w:top w:val="single" w:sz="4" w:space="0" w:color="CCCCCC"/>
              <w:left w:val="single" w:sz="4" w:space="0" w:color="CCCCCC"/>
              <w:bottom w:val="single" w:sz="4" w:space="0" w:color="CCCCCC"/>
              <w:right w:val="single" w:sz="4" w:space="0" w:color="CCCCCC"/>
            </w:tcBorders>
            <w:vAlign w:val="center"/>
          </w:tcPr>
          <w:p w14:paraId="05156850" w14:textId="77777777" w:rsidR="003749BF" w:rsidRDefault="003749BF" w:rsidP="005073B8">
            <w:pPr>
              <w:spacing w:after="0" w:line="240" w:lineRule="auto"/>
              <w:jc w:val="center"/>
            </w:pPr>
            <w:r>
              <w:rPr>
                <w:sz w:val="20"/>
              </w:rPr>
              <w:t>2021</w:t>
            </w:r>
          </w:p>
        </w:tc>
        <w:tc>
          <w:tcPr>
            <w:tcW w:w="2188" w:type="pct"/>
            <w:tcBorders>
              <w:top w:val="single" w:sz="4" w:space="0" w:color="CCCCCC"/>
              <w:left w:val="single" w:sz="4" w:space="0" w:color="CCCCCC"/>
              <w:bottom w:val="single" w:sz="4" w:space="0" w:color="CCCCCC"/>
              <w:right w:val="single" w:sz="4" w:space="0" w:color="CCCCCC"/>
            </w:tcBorders>
            <w:vAlign w:val="center"/>
          </w:tcPr>
          <w:p w14:paraId="214F81AF" w14:textId="77777777" w:rsidR="003749BF" w:rsidRDefault="003749BF" w:rsidP="005073B8">
            <w:pPr>
              <w:spacing w:after="0" w:line="240" w:lineRule="auto"/>
              <w:jc w:val="center"/>
            </w:pPr>
            <w:r>
              <w:rPr>
                <w:sz w:val="20"/>
              </w:rPr>
              <w:t>R$ 1,92 bilhão</w:t>
            </w:r>
          </w:p>
        </w:tc>
        <w:tc>
          <w:tcPr>
            <w:tcW w:w="2187" w:type="pct"/>
            <w:tcBorders>
              <w:top w:val="single" w:sz="4" w:space="0" w:color="CCCCCC"/>
              <w:left w:val="single" w:sz="4" w:space="0" w:color="CCCCCC"/>
              <w:bottom w:val="single" w:sz="4" w:space="0" w:color="CCCCCC"/>
              <w:right w:val="single" w:sz="4" w:space="0" w:color="CCCCCC"/>
            </w:tcBorders>
            <w:vAlign w:val="center"/>
          </w:tcPr>
          <w:p w14:paraId="022EC808" w14:textId="77777777" w:rsidR="003749BF" w:rsidRDefault="003749BF" w:rsidP="005073B8">
            <w:pPr>
              <w:spacing w:after="0" w:line="240" w:lineRule="auto"/>
              <w:jc w:val="center"/>
            </w:pPr>
            <w:r>
              <w:rPr>
                <w:sz w:val="20"/>
              </w:rPr>
              <w:t>R$ 917 milhões</w:t>
            </w:r>
          </w:p>
        </w:tc>
      </w:tr>
      <w:tr w:rsidR="003749BF" w14:paraId="7C8C7CFF" w14:textId="77777777" w:rsidTr="005073B8">
        <w:tc>
          <w:tcPr>
            <w:tcW w:w="625" w:type="pct"/>
            <w:tcBorders>
              <w:top w:val="single" w:sz="4" w:space="0" w:color="CCCCCC"/>
              <w:left w:val="single" w:sz="4" w:space="0" w:color="CCCCCC"/>
              <w:bottom w:val="single" w:sz="4" w:space="0" w:color="CCCCCC"/>
              <w:right w:val="single" w:sz="4" w:space="0" w:color="CCCCCC"/>
            </w:tcBorders>
            <w:vAlign w:val="center"/>
          </w:tcPr>
          <w:p w14:paraId="77029F08" w14:textId="77777777" w:rsidR="003749BF" w:rsidRDefault="003749BF" w:rsidP="005073B8">
            <w:pPr>
              <w:spacing w:after="0" w:line="240" w:lineRule="auto"/>
              <w:jc w:val="center"/>
            </w:pPr>
            <w:r>
              <w:rPr>
                <w:sz w:val="20"/>
              </w:rPr>
              <w:t>2022</w:t>
            </w:r>
          </w:p>
        </w:tc>
        <w:tc>
          <w:tcPr>
            <w:tcW w:w="2188" w:type="pct"/>
            <w:tcBorders>
              <w:top w:val="single" w:sz="4" w:space="0" w:color="CCCCCC"/>
              <w:left w:val="single" w:sz="4" w:space="0" w:color="CCCCCC"/>
              <w:bottom w:val="single" w:sz="4" w:space="0" w:color="CCCCCC"/>
              <w:right w:val="single" w:sz="4" w:space="0" w:color="CCCCCC"/>
            </w:tcBorders>
            <w:vAlign w:val="center"/>
          </w:tcPr>
          <w:p w14:paraId="3A9BF762" w14:textId="77777777" w:rsidR="003749BF" w:rsidRDefault="003749BF" w:rsidP="005073B8">
            <w:pPr>
              <w:spacing w:after="0" w:line="240" w:lineRule="auto"/>
              <w:jc w:val="center"/>
            </w:pPr>
            <w:r>
              <w:rPr>
                <w:sz w:val="20"/>
              </w:rPr>
              <w:t>R$ 1,58 bilhão</w:t>
            </w:r>
          </w:p>
        </w:tc>
        <w:tc>
          <w:tcPr>
            <w:tcW w:w="2187" w:type="pct"/>
            <w:tcBorders>
              <w:top w:val="single" w:sz="4" w:space="0" w:color="CCCCCC"/>
              <w:left w:val="single" w:sz="4" w:space="0" w:color="CCCCCC"/>
              <w:bottom w:val="single" w:sz="4" w:space="0" w:color="CCCCCC"/>
              <w:right w:val="single" w:sz="4" w:space="0" w:color="CCCCCC"/>
            </w:tcBorders>
            <w:vAlign w:val="center"/>
          </w:tcPr>
          <w:p w14:paraId="0C6E3FA6" w14:textId="77777777" w:rsidR="003749BF" w:rsidRDefault="003749BF" w:rsidP="005073B8">
            <w:pPr>
              <w:spacing w:after="0" w:line="240" w:lineRule="auto"/>
              <w:jc w:val="center"/>
            </w:pPr>
            <w:r>
              <w:rPr>
                <w:color w:val="C0392B"/>
                <w:sz w:val="20"/>
              </w:rPr>
              <w:t xml:space="preserve">R$ -65 </w:t>
            </w:r>
            <w:r w:rsidRPr="00BC7235">
              <w:rPr>
                <w:color w:val="C0392B"/>
                <w:sz w:val="20"/>
              </w:rPr>
              <w:t>milhões</w:t>
            </w:r>
          </w:p>
        </w:tc>
      </w:tr>
      <w:tr w:rsidR="003749BF" w14:paraId="6437FD7F" w14:textId="77777777" w:rsidTr="005073B8">
        <w:tc>
          <w:tcPr>
            <w:tcW w:w="625" w:type="pct"/>
            <w:tcBorders>
              <w:top w:val="single" w:sz="4" w:space="0" w:color="CCCCCC"/>
              <w:left w:val="single" w:sz="4" w:space="0" w:color="CCCCCC"/>
              <w:bottom w:val="single" w:sz="4" w:space="0" w:color="CCCCCC"/>
              <w:right w:val="single" w:sz="4" w:space="0" w:color="CCCCCC"/>
            </w:tcBorders>
            <w:vAlign w:val="center"/>
          </w:tcPr>
          <w:p w14:paraId="34A43D98" w14:textId="77777777" w:rsidR="003749BF" w:rsidRDefault="003749BF" w:rsidP="005073B8">
            <w:pPr>
              <w:spacing w:after="0" w:line="240" w:lineRule="auto"/>
              <w:jc w:val="center"/>
            </w:pPr>
            <w:r>
              <w:rPr>
                <w:sz w:val="20"/>
              </w:rPr>
              <w:t>2023</w:t>
            </w:r>
          </w:p>
        </w:tc>
        <w:tc>
          <w:tcPr>
            <w:tcW w:w="2188" w:type="pct"/>
            <w:tcBorders>
              <w:top w:val="single" w:sz="4" w:space="0" w:color="CCCCCC"/>
              <w:left w:val="single" w:sz="4" w:space="0" w:color="CCCCCC"/>
              <w:bottom w:val="single" w:sz="4" w:space="0" w:color="CCCCCC"/>
              <w:right w:val="single" w:sz="4" w:space="0" w:color="CCCCCC"/>
            </w:tcBorders>
            <w:vAlign w:val="center"/>
          </w:tcPr>
          <w:p w14:paraId="1BDBCCE8" w14:textId="77777777" w:rsidR="003749BF" w:rsidRDefault="003749BF" w:rsidP="005073B8">
            <w:pPr>
              <w:spacing w:after="0" w:line="240" w:lineRule="auto"/>
              <w:jc w:val="center"/>
            </w:pPr>
            <w:r>
              <w:rPr>
                <w:sz w:val="20"/>
              </w:rPr>
              <w:t>R$ 2,90 bilhões</w:t>
            </w:r>
          </w:p>
        </w:tc>
        <w:tc>
          <w:tcPr>
            <w:tcW w:w="2187" w:type="pct"/>
            <w:tcBorders>
              <w:top w:val="single" w:sz="4" w:space="0" w:color="CCCCCC"/>
              <w:left w:val="single" w:sz="4" w:space="0" w:color="CCCCCC"/>
              <w:bottom w:val="single" w:sz="4" w:space="0" w:color="CCCCCC"/>
              <w:right w:val="single" w:sz="4" w:space="0" w:color="CCCCCC"/>
            </w:tcBorders>
            <w:vAlign w:val="center"/>
          </w:tcPr>
          <w:p w14:paraId="5A50AE35" w14:textId="77777777" w:rsidR="003749BF" w:rsidRDefault="003749BF" w:rsidP="005073B8">
            <w:pPr>
              <w:spacing w:after="0" w:line="240" w:lineRule="auto"/>
              <w:jc w:val="center"/>
            </w:pPr>
            <w:r>
              <w:rPr>
                <w:sz w:val="20"/>
              </w:rPr>
              <w:t>R$ 415 milhões</w:t>
            </w:r>
          </w:p>
        </w:tc>
      </w:tr>
      <w:tr w:rsidR="003749BF" w14:paraId="2B557995" w14:textId="77777777" w:rsidTr="005073B8">
        <w:tc>
          <w:tcPr>
            <w:tcW w:w="625" w:type="pct"/>
            <w:tcBorders>
              <w:top w:val="single" w:sz="4" w:space="0" w:color="CCCCCC"/>
              <w:left w:val="single" w:sz="4" w:space="0" w:color="CCCCCC"/>
              <w:bottom w:val="single" w:sz="4" w:space="0" w:color="CCCCCC"/>
              <w:right w:val="single" w:sz="4" w:space="0" w:color="CCCCCC"/>
            </w:tcBorders>
            <w:vAlign w:val="center"/>
          </w:tcPr>
          <w:p w14:paraId="5304CD99" w14:textId="77777777" w:rsidR="003749BF" w:rsidRDefault="003749BF" w:rsidP="005073B8">
            <w:pPr>
              <w:spacing w:after="0" w:line="240" w:lineRule="auto"/>
              <w:jc w:val="center"/>
            </w:pPr>
            <w:r>
              <w:rPr>
                <w:sz w:val="20"/>
              </w:rPr>
              <w:t>2024</w:t>
            </w:r>
          </w:p>
        </w:tc>
        <w:tc>
          <w:tcPr>
            <w:tcW w:w="2188" w:type="pct"/>
            <w:tcBorders>
              <w:top w:val="single" w:sz="4" w:space="0" w:color="CCCCCC"/>
              <w:left w:val="single" w:sz="4" w:space="0" w:color="CCCCCC"/>
              <w:bottom w:val="single" w:sz="4" w:space="0" w:color="CCCCCC"/>
              <w:right w:val="single" w:sz="4" w:space="0" w:color="CCCCCC"/>
            </w:tcBorders>
            <w:vAlign w:val="center"/>
          </w:tcPr>
          <w:p w14:paraId="7A5045F6" w14:textId="77777777" w:rsidR="003749BF" w:rsidRDefault="003749BF" w:rsidP="005073B8">
            <w:pPr>
              <w:spacing w:after="0" w:line="240" w:lineRule="auto"/>
              <w:jc w:val="center"/>
            </w:pPr>
            <w:r>
              <w:rPr>
                <w:sz w:val="20"/>
              </w:rPr>
              <w:t>R$ 1,87 bilhão</w:t>
            </w:r>
          </w:p>
        </w:tc>
        <w:tc>
          <w:tcPr>
            <w:tcW w:w="2187" w:type="pct"/>
            <w:tcBorders>
              <w:top w:val="single" w:sz="4" w:space="0" w:color="CCCCCC"/>
              <w:left w:val="single" w:sz="4" w:space="0" w:color="CCCCCC"/>
              <w:bottom w:val="single" w:sz="4" w:space="0" w:color="CCCCCC"/>
              <w:right w:val="single" w:sz="4" w:space="0" w:color="CCCCCC"/>
            </w:tcBorders>
            <w:vAlign w:val="center"/>
          </w:tcPr>
          <w:p w14:paraId="7498F755" w14:textId="77777777" w:rsidR="003749BF" w:rsidRDefault="003749BF" w:rsidP="005073B8">
            <w:pPr>
              <w:spacing w:after="0" w:line="240" w:lineRule="auto"/>
              <w:jc w:val="center"/>
            </w:pPr>
            <w:r>
              <w:rPr>
                <w:color w:val="C0392B"/>
                <w:sz w:val="20"/>
              </w:rPr>
              <w:t xml:space="preserve">R$ -645 </w:t>
            </w:r>
            <w:r w:rsidRPr="00BC7235">
              <w:rPr>
                <w:color w:val="C0392B"/>
                <w:sz w:val="20"/>
              </w:rPr>
              <w:t>milhões</w:t>
            </w:r>
          </w:p>
        </w:tc>
      </w:tr>
      <w:tr w:rsidR="003749BF" w14:paraId="7168EE6C" w14:textId="77777777" w:rsidTr="005073B8">
        <w:tc>
          <w:tcPr>
            <w:tcW w:w="625" w:type="pct"/>
            <w:tcBorders>
              <w:top w:val="single" w:sz="4" w:space="0" w:color="CCCCCC"/>
              <w:left w:val="single" w:sz="4" w:space="0" w:color="CCCCCC"/>
              <w:bottom w:val="single" w:sz="4" w:space="0" w:color="CCCCCC"/>
              <w:right w:val="single" w:sz="4" w:space="0" w:color="CCCCCC"/>
            </w:tcBorders>
            <w:vAlign w:val="center"/>
          </w:tcPr>
          <w:p w14:paraId="09260CCB" w14:textId="77777777" w:rsidR="003749BF" w:rsidRDefault="003749BF" w:rsidP="005073B8">
            <w:pPr>
              <w:spacing w:after="0" w:line="240" w:lineRule="auto"/>
              <w:jc w:val="center"/>
            </w:pPr>
            <w:r>
              <w:rPr>
                <w:sz w:val="20"/>
              </w:rPr>
              <w:t>2025</w:t>
            </w:r>
          </w:p>
        </w:tc>
        <w:tc>
          <w:tcPr>
            <w:tcW w:w="2188" w:type="pct"/>
            <w:tcBorders>
              <w:top w:val="single" w:sz="4" w:space="0" w:color="CCCCCC"/>
              <w:left w:val="single" w:sz="4" w:space="0" w:color="CCCCCC"/>
              <w:bottom w:val="single" w:sz="4" w:space="0" w:color="CCCCCC"/>
              <w:right w:val="single" w:sz="4" w:space="0" w:color="CCCCCC"/>
            </w:tcBorders>
            <w:vAlign w:val="center"/>
          </w:tcPr>
          <w:p w14:paraId="13C57C0D" w14:textId="77777777" w:rsidR="003749BF" w:rsidRDefault="003749BF" w:rsidP="005073B8">
            <w:pPr>
              <w:spacing w:after="0" w:line="240" w:lineRule="auto"/>
              <w:jc w:val="center"/>
            </w:pPr>
            <w:r>
              <w:rPr>
                <w:sz w:val="20"/>
              </w:rPr>
              <w:t>R$ 570 milhões</w:t>
            </w:r>
          </w:p>
        </w:tc>
        <w:tc>
          <w:tcPr>
            <w:tcW w:w="2187" w:type="pct"/>
            <w:tcBorders>
              <w:top w:val="single" w:sz="4" w:space="0" w:color="CCCCCC"/>
              <w:left w:val="single" w:sz="4" w:space="0" w:color="CCCCCC"/>
              <w:bottom w:val="single" w:sz="4" w:space="0" w:color="CCCCCC"/>
              <w:right w:val="single" w:sz="4" w:space="0" w:color="CCCCCC"/>
            </w:tcBorders>
            <w:vAlign w:val="center"/>
          </w:tcPr>
          <w:p w14:paraId="1A34A9F5" w14:textId="77777777" w:rsidR="003749BF" w:rsidRDefault="003749BF" w:rsidP="005073B8">
            <w:pPr>
              <w:spacing w:after="0" w:line="240" w:lineRule="auto"/>
              <w:jc w:val="center"/>
            </w:pPr>
            <w:r>
              <w:rPr>
                <w:color w:val="C0392B"/>
                <w:sz w:val="20"/>
              </w:rPr>
              <w:t xml:space="preserve">R$ -877 </w:t>
            </w:r>
            <w:r w:rsidRPr="00BC7235">
              <w:rPr>
                <w:color w:val="C0392B"/>
                <w:sz w:val="20"/>
              </w:rPr>
              <w:t>milhões</w:t>
            </w:r>
          </w:p>
        </w:tc>
      </w:tr>
    </w:tbl>
    <w:p w14:paraId="5DAB185E" w14:textId="77777777" w:rsidR="003749BF" w:rsidRDefault="003749BF" w:rsidP="003749BF">
      <w:pPr>
        <w:jc w:val="both"/>
        <w:rPr>
          <w:i/>
          <w:color w:val="6B7280"/>
          <w:sz w:val="16"/>
          <w:szCs w:val="20"/>
        </w:rPr>
      </w:pPr>
      <w:r w:rsidRPr="00897BBB">
        <w:rPr>
          <w:i/>
          <w:color w:val="6B7280"/>
          <w:sz w:val="16"/>
          <w:szCs w:val="20"/>
        </w:rPr>
        <w:t>Fonte: RGF – Poder Executivo – 3º quadrimestre de cada exercício (2021 a 2025).</w:t>
      </w:r>
    </w:p>
    <w:p w14:paraId="62B4BBDB" w14:textId="77777777" w:rsidR="006D3D5A" w:rsidRDefault="006D3D5A" w:rsidP="006D3D5A">
      <w:pPr>
        <w:jc w:val="both"/>
      </w:pPr>
      <w:r>
        <w:t xml:space="preserve">Na prática, o DF não dispõe hoje de um colchão de liquidez robusto para enfrentar choques, frustrações de receita ou necessidades emergenciais de caixa. Esse quadro exige atenção especial em 2026. Embora haja </w:t>
      </w:r>
      <w:r>
        <w:lastRenderedPageBreak/>
        <w:t>indicações de esforço para conter despesas e ajustar as contas, é essencial que o ajuste seja feito de forma estrutural e transparente, sem simples postergação de obrigações para exercícios seguintes.</w:t>
      </w:r>
    </w:p>
    <w:p w14:paraId="37BA0DD2" w14:textId="0C0CF44E" w:rsidR="006D3D5A" w:rsidRDefault="006D3D5A" w:rsidP="006D3D5A">
      <w:pPr>
        <w:jc w:val="both"/>
      </w:pPr>
      <w:r>
        <w:t>Há risco de que parte do equilíbrio aparente seja obtida por meio do aumento de restos a pagar</w:t>
      </w:r>
      <w:r>
        <w:t xml:space="preserve"> ou</w:t>
      </w:r>
      <w:r>
        <w:t xml:space="preserve"> do reconhecimento posterior de passivos </w:t>
      </w:r>
      <w:r>
        <w:t>que acabam sendo</w:t>
      </w:r>
      <w:r>
        <w:t xml:space="preserve"> pago</w:t>
      </w:r>
      <w:r>
        <w:t>s</w:t>
      </w:r>
      <w:r>
        <w:t xml:space="preserve"> </w:t>
      </w:r>
      <w:r>
        <w:t xml:space="preserve">por meio </w:t>
      </w:r>
      <w:r>
        <w:t>d</w:t>
      </w:r>
      <w:r>
        <w:t>as chamadas D</w:t>
      </w:r>
      <w:r>
        <w:t xml:space="preserve">espesas de </w:t>
      </w:r>
      <w:r>
        <w:t>E</w:t>
      </w:r>
      <w:r>
        <w:t xml:space="preserve">xercícios </w:t>
      </w:r>
      <w:r>
        <w:t>A</w:t>
      </w:r>
      <w:r>
        <w:t>nteriores. Esse tipo de prática transfere o problema para o futuro, reduz a transparência fiscal e pode comprometer a capacidade de gestão do próximo governo. Situação semelhante foi observada no fim do governo Agnelo, em 2014, quando o acúmulo de obrigações não pagas agravou a transição fiscal.</w:t>
      </w:r>
    </w:p>
    <w:p w14:paraId="5A13D00D" w14:textId="77777777" w:rsidR="006D3D5A" w:rsidRDefault="006D3D5A" w:rsidP="006D3D5A">
      <w:pPr>
        <w:jc w:val="both"/>
      </w:pPr>
      <w:r>
        <w:t>Também preocupa a eventual utilização de pagamentos indenizatórios para serviços continuados prestados sem contratação formal regular. Além de indicar fragilidade no planejamento e na gestão contratual, essa prática pode gerar passivos ocultos e pressionar o caixa nos anos seguintes.</w:t>
      </w:r>
    </w:p>
    <w:p w14:paraId="5E8DC189" w14:textId="446FFC67" w:rsidR="006D3D5A" w:rsidRPr="00897BBB" w:rsidRDefault="006D3D5A" w:rsidP="006D3D5A">
      <w:pPr>
        <w:jc w:val="both"/>
      </w:pPr>
      <w:r>
        <w:t>Assim, o quadro fiscal já é desafiador pelos dados disponíveis até 2025, mas pode se tornar ainda mais difícil em 2027, a depender da forma como a política fiscal for conduzida em 2026.</w:t>
      </w:r>
    </w:p>
    <w:p w14:paraId="0FDB2B1C" w14:textId="77777777" w:rsidR="00BB0B43" w:rsidRDefault="00000000" w:rsidP="009816A9">
      <w:pPr>
        <w:pStyle w:val="Ttulo1"/>
        <w:jc w:val="both"/>
      </w:pPr>
      <w:r>
        <w:rPr>
          <w:color w:val="2E7D32"/>
          <w:sz w:val="32"/>
        </w:rPr>
        <w:t>Despesa com Pessoal e LRF</w:t>
      </w:r>
    </w:p>
    <w:p w14:paraId="64A29E70" w14:textId="77777777" w:rsidR="003749BF" w:rsidRDefault="00000000" w:rsidP="009816A9">
      <w:pPr>
        <w:jc w:val="both"/>
      </w:pPr>
      <w:r>
        <w:t xml:space="preserve">A despesa total com pessoal do Poder Executivo está em 41,5% da RCL ajustada — abaixo dos limites de alerta (44,1%) e prudencial (46,55%), mas com margem estreita. </w:t>
      </w:r>
    </w:p>
    <w:p w14:paraId="4DA5126B" w14:textId="77777777" w:rsidR="003749BF" w:rsidRDefault="003749BF" w:rsidP="003749BF">
      <w:pPr>
        <w:jc w:val="both"/>
      </w:pPr>
      <w:r w:rsidRPr="00BC7235">
        <w:t>Embora o DF esteja dentro dos limites da LRF, qualquer movimento de ampliação relevante da folha (reajustes, novos concursos) precisa ser examinado à luz dessa margem cada vez mais estreita.</w:t>
      </w:r>
    </w:p>
    <w:p w14:paraId="48658E20" w14:textId="37020C67" w:rsidR="00BB0B43" w:rsidRDefault="00000000" w:rsidP="009816A9">
      <w:pPr>
        <w:jc w:val="both"/>
      </w:pPr>
      <w:r>
        <w:t>Os patamares legais e o espaço fiscal disponível são:</w:t>
      </w:r>
    </w:p>
    <w:tbl>
      <w:tblPr>
        <w:tblW w:w="5000" w:type="pct"/>
        <w:tblLook w:val="04A0" w:firstRow="1" w:lastRow="0" w:firstColumn="1" w:lastColumn="0" w:noHBand="0" w:noVBand="1"/>
      </w:tblPr>
      <w:tblGrid>
        <w:gridCol w:w="3396"/>
        <w:gridCol w:w="3397"/>
        <w:gridCol w:w="3395"/>
      </w:tblGrid>
      <w:tr w:rsidR="00BB0B43" w14:paraId="36AA1373" w14:textId="77777777" w:rsidTr="00BC7235">
        <w:tc>
          <w:tcPr>
            <w:tcW w:w="1667" w:type="pct"/>
            <w:tcBorders>
              <w:top w:val="single" w:sz="4" w:space="0" w:color="2E7D32"/>
              <w:left w:val="single" w:sz="4" w:space="0" w:color="2E7D32"/>
              <w:bottom w:val="single" w:sz="4" w:space="0" w:color="2E7D32"/>
              <w:right w:val="single" w:sz="4" w:space="0" w:color="2E7D32"/>
            </w:tcBorders>
            <w:shd w:val="clear" w:color="auto" w:fill="2E7D32"/>
            <w:vAlign w:val="center"/>
          </w:tcPr>
          <w:p w14:paraId="7B0A3218" w14:textId="77777777" w:rsidR="00BB0B43" w:rsidRDefault="00000000" w:rsidP="00960C19">
            <w:pPr>
              <w:spacing w:after="0" w:line="240" w:lineRule="auto"/>
              <w:jc w:val="center"/>
            </w:pPr>
            <w:r>
              <w:rPr>
                <w:b/>
                <w:color w:val="FFFFFF"/>
                <w:sz w:val="20"/>
              </w:rPr>
              <w:t>Limite</w:t>
            </w:r>
          </w:p>
        </w:tc>
        <w:tc>
          <w:tcPr>
            <w:tcW w:w="1667" w:type="pct"/>
            <w:tcBorders>
              <w:top w:val="single" w:sz="4" w:space="0" w:color="2E7D32"/>
              <w:left w:val="single" w:sz="4" w:space="0" w:color="2E7D32"/>
              <w:bottom w:val="single" w:sz="4" w:space="0" w:color="2E7D32"/>
              <w:right w:val="single" w:sz="4" w:space="0" w:color="2E7D32"/>
            </w:tcBorders>
            <w:shd w:val="clear" w:color="auto" w:fill="2E7D32"/>
            <w:vAlign w:val="center"/>
          </w:tcPr>
          <w:p w14:paraId="5130C611" w14:textId="77777777" w:rsidR="00BB0B43" w:rsidRDefault="00000000" w:rsidP="00960C19">
            <w:pPr>
              <w:spacing w:after="0" w:line="240" w:lineRule="auto"/>
              <w:jc w:val="center"/>
            </w:pPr>
            <w:r>
              <w:rPr>
                <w:b/>
                <w:color w:val="FFFFFF"/>
                <w:sz w:val="20"/>
              </w:rPr>
              <w:t>% da RCL</w:t>
            </w:r>
          </w:p>
        </w:tc>
        <w:tc>
          <w:tcPr>
            <w:tcW w:w="1667" w:type="pct"/>
            <w:tcBorders>
              <w:top w:val="single" w:sz="4" w:space="0" w:color="2E7D32"/>
              <w:left w:val="single" w:sz="4" w:space="0" w:color="2E7D32"/>
              <w:bottom w:val="single" w:sz="4" w:space="0" w:color="2E7D32"/>
              <w:right w:val="single" w:sz="4" w:space="0" w:color="2E7D32"/>
            </w:tcBorders>
            <w:shd w:val="clear" w:color="auto" w:fill="2E7D32"/>
            <w:vAlign w:val="center"/>
          </w:tcPr>
          <w:p w14:paraId="572B640C" w14:textId="77777777" w:rsidR="00BB0B43" w:rsidRDefault="00000000" w:rsidP="00960C19">
            <w:pPr>
              <w:spacing w:after="0" w:line="240" w:lineRule="auto"/>
              <w:jc w:val="center"/>
            </w:pPr>
            <w:r>
              <w:rPr>
                <w:b/>
                <w:color w:val="FFFFFF"/>
                <w:sz w:val="20"/>
              </w:rPr>
              <w:t>Espaço fiscal</w:t>
            </w:r>
          </w:p>
        </w:tc>
      </w:tr>
      <w:tr w:rsidR="00BB0B43" w14:paraId="065F9AB1" w14:textId="77777777" w:rsidTr="00BC7235">
        <w:tc>
          <w:tcPr>
            <w:tcW w:w="1667" w:type="pct"/>
            <w:tcBorders>
              <w:top w:val="single" w:sz="4" w:space="0" w:color="CCCCCC"/>
              <w:left w:val="single" w:sz="4" w:space="0" w:color="CCCCCC"/>
              <w:bottom w:val="single" w:sz="4" w:space="0" w:color="CCCCCC"/>
              <w:right w:val="single" w:sz="4" w:space="0" w:color="CCCCCC"/>
            </w:tcBorders>
          </w:tcPr>
          <w:p w14:paraId="35B8FC9E" w14:textId="77777777" w:rsidR="00BB0B43" w:rsidRDefault="00000000" w:rsidP="00960C19">
            <w:pPr>
              <w:spacing w:after="0" w:line="240" w:lineRule="auto"/>
              <w:jc w:val="both"/>
            </w:pPr>
            <w:r>
              <w:rPr>
                <w:b/>
                <w:sz w:val="20"/>
              </w:rPr>
              <w:t>Atual</w:t>
            </w:r>
          </w:p>
        </w:tc>
        <w:tc>
          <w:tcPr>
            <w:tcW w:w="1667" w:type="pct"/>
            <w:tcBorders>
              <w:top w:val="single" w:sz="4" w:space="0" w:color="CCCCCC"/>
              <w:left w:val="single" w:sz="4" w:space="0" w:color="CCCCCC"/>
              <w:bottom w:val="single" w:sz="4" w:space="0" w:color="CCCCCC"/>
              <w:right w:val="single" w:sz="4" w:space="0" w:color="CCCCCC"/>
            </w:tcBorders>
            <w:vAlign w:val="center"/>
          </w:tcPr>
          <w:p w14:paraId="14C00B13" w14:textId="77777777" w:rsidR="00BB0B43" w:rsidRDefault="00000000" w:rsidP="00960C19">
            <w:pPr>
              <w:spacing w:after="0" w:line="240" w:lineRule="auto"/>
              <w:jc w:val="center"/>
            </w:pPr>
            <w:r>
              <w:rPr>
                <w:b/>
                <w:color w:val="2E7D32"/>
                <w:sz w:val="20"/>
              </w:rPr>
              <w:t>41,5%</w:t>
            </w:r>
          </w:p>
        </w:tc>
        <w:tc>
          <w:tcPr>
            <w:tcW w:w="1667" w:type="pct"/>
            <w:tcBorders>
              <w:top w:val="single" w:sz="4" w:space="0" w:color="CCCCCC"/>
              <w:left w:val="single" w:sz="4" w:space="0" w:color="CCCCCC"/>
              <w:bottom w:val="single" w:sz="4" w:space="0" w:color="CCCCCC"/>
              <w:right w:val="single" w:sz="4" w:space="0" w:color="CCCCCC"/>
            </w:tcBorders>
            <w:vAlign w:val="center"/>
          </w:tcPr>
          <w:p w14:paraId="26758AEE" w14:textId="77777777" w:rsidR="00BB0B43" w:rsidRDefault="00000000" w:rsidP="00960C19">
            <w:pPr>
              <w:spacing w:after="0" w:line="240" w:lineRule="auto"/>
              <w:jc w:val="center"/>
            </w:pPr>
            <w:r>
              <w:rPr>
                <w:sz w:val="20"/>
              </w:rPr>
              <w:t>—</w:t>
            </w:r>
          </w:p>
        </w:tc>
      </w:tr>
      <w:tr w:rsidR="00BB0B43" w14:paraId="7511A85D" w14:textId="77777777" w:rsidTr="00BC7235">
        <w:tc>
          <w:tcPr>
            <w:tcW w:w="1667" w:type="pct"/>
            <w:tcBorders>
              <w:top w:val="single" w:sz="4" w:space="0" w:color="CCCCCC"/>
              <w:left w:val="single" w:sz="4" w:space="0" w:color="CCCCCC"/>
              <w:bottom w:val="single" w:sz="4" w:space="0" w:color="CCCCCC"/>
              <w:right w:val="single" w:sz="4" w:space="0" w:color="CCCCCC"/>
            </w:tcBorders>
          </w:tcPr>
          <w:p w14:paraId="1CBE1DB1" w14:textId="77777777" w:rsidR="00BB0B43" w:rsidRDefault="00000000" w:rsidP="00960C19">
            <w:pPr>
              <w:spacing w:after="0" w:line="240" w:lineRule="auto"/>
              <w:jc w:val="both"/>
            </w:pPr>
            <w:r>
              <w:rPr>
                <w:sz w:val="20"/>
              </w:rPr>
              <w:t>Alerta</w:t>
            </w:r>
          </w:p>
        </w:tc>
        <w:tc>
          <w:tcPr>
            <w:tcW w:w="1667" w:type="pct"/>
            <w:tcBorders>
              <w:top w:val="single" w:sz="4" w:space="0" w:color="CCCCCC"/>
              <w:left w:val="single" w:sz="4" w:space="0" w:color="CCCCCC"/>
              <w:bottom w:val="single" w:sz="4" w:space="0" w:color="CCCCCC"/>
              <w:right w:val="single" w:sz="4" w:space="0" w:color="CCCCCC"/>
            </w:tcBorders>
            <w:vAlign w:val="center"/>
          </w:tcPr>
          <w:p w14:paraId="4485DB47" w14:textId="77777777" w:rsidR="00BB0B43" w:rsidRDefault="00000000" w:rsidP="00960C19">
            <w:pPr>
              <w:spacing w:after="0" w:line="240" w:lineRule="auto"/>
              <w:jc w:val="center"/>
            </w:pPr>
            <w:r>
              <w:rPr>
                <w:color w:val="C47A10"/>
                <w:sz w:val="20"/>
              </w:rPr>
              <w:t>44,1%</w:t>
            </w:r>
          </w:p>
        </w:tc>
        <w:tc>
          <w:tcPr>
            <w:tcW w:w="1667" w:type="pct"/>
            <w:tcBorders>
              <w:top w:val="single" w:sz="4" w:space="0" w:color="CCCCCC"/>
              <w:left w:val="single" w:sz="4" w:space="0" w:color="CCCCCC"/>
              <w:bottom w:val="single" w:sz="4" w:space="0" w:color="CCCCCC"/>
              <w:right w:val="single" w:sz="4" w:space="0" w:color="CCCCCC"/>
            </w:tcBorders>
            <w:vAlign w:val="center"/>
          </w:tcPr>
          <w:p w14:paraId="5E3A13AC" w14:textId="40630E3B" w:rsidR="00BB0B43" w:rsidRDefault="00000000" w:rsidP="00960C19">
            <w:pPr>
              <w:spacing w:after="0" w:line="240" w:lineRule="auto"/>
              <w:jc w:val="center"/>
            </w:pPr>
            <w:r>
              <w:rPr>
                <w:sz w:val="20"/>
              </w:rPr>
              <w:t>R$ 1,0 bi</w:t>
            </w:r>
            <w:r w:rsidR="00BC7235">
              <w:rPr>
                <w:sz w:val="20"/>
              </w:rPr>
              <w:t>lhão</w:t>
            </w:r>
          </w:p>
        </w:tc>
      </w:tr>
      <w:tr w:rsidR="00BB0B43" w14:paraId="764F9A13" w14:textId="77777777" w:rsidTr="00BC7235">
        <w:tc>
          <w:tcPr>
            <w:tcW w:w="1667" w:type="pct"/>
            <w:tcBorders>
              <w:top w:val="single" w:sz="4" w:space="0" w:color="CCCCCC"/>
              <w:left w:val="single" w:sz="4" w:space="0" w:color="CCCCCC"/>
              <w:bottom w:val="single" w:sz="4" w:space="0" w:color="CCCCCC"/>
              <w:right w:val="single" w:sz="4" w:space="0" w:color="CCCCCC"/>
            </w:tcBorders>
          </w:tcPr>
          <w:p w14:paraId="4174F3CB" w14:textId="77777777" w:rsidR="00BB0B43" w:rsidRDefault="00000000" w:rsidP="00960C19">
            <w:pPr>
              <w:spacing w:after="0" w:line="240" w:lineRule="auto"/>
              <w:jc w:val="both"/>
            </w:pPr>
            <w:r>
              <w:rPr>
                <w:sz w:val="20"/>
              </w:rPr>
              <w:t>Prudencial</w:t>
            </w:r>
          </w:p>
        </w:tc>
        <w:tc>
          <w:tcPr>
            <w:tcW w:w="1667" w:type="pct"/>
            <w:tcBorders>
              <w:top w:val="single" w:sz="4" w:space="0" w:color="CCCCCC"/>
              <w:left w:val="single" w:sz="4" w:space="0" w:color="CCCCCC"/>
              <w:bottom w:val="single" w:sz="4" w:space="0" w:color="CCCCCC"/>
              <w:right w:val="single" w:sz="4" w:space="0" w:color="CCCCCC"/>
            </w:tcBorders>
            <w:vAlign w:val="center"/>
          </w:tcPr>
          <w:p w14:paraId="3EB97DE6" w14:textId="77777777" w:rsidR="00BB0B43" w:rsidRDefault="00000000" w:rsidP="00960C19">
            <w:pPr>
              <w:spacing w:after="0" w:line="240" w:lineRule="auto"/>
              <w:jc w:val="center"/>
            </w:pPr>
            <w:r>
              <w:rPr>
                <w:color w:val="C47A10"/>
                <w:sz w:val="20"/>
              </w:rPr>
              <w:t>46,5%</w:t>
            </w:r>
          </w:p>
        </w:tc>
        <w:tc>
          <w:tcPr>
            <w:tcW w:w="1667" w:type="pct"/>
            <w:tcBorders>
              <w:top w:val="single" w:sz="4" w:space="0" w:color="CCCCCC"/>
              <w:left w:val="single" w:sz="4" w:space="0" w:color="CCCCCC"/>
              <w:bottom w:val="single" w:sz="4" w:space="0" w:color="CCCCCC"/>
              <w:right w:val="single" w:sz="4" w:space="0" w:color="CCCCCC"/>
            </w:tcBorders>
            <w:vAlign w:val="center"/>
          </w:tcPr>
          <w:p w14:paraId="6D1FC182" w14:textId="05FE5D5C" w:rsidR="00BB0B43" w:rsidRDefault="00000000" w:rsidP="00960C19">
            <w:pPr>
              <w:spacing w:after="0" w:line="240" w:lineRule="auto"/>
              <w:jc w:val="center"/>
            </w:pPr>
            <w:r>
              <w:rPr>
                <w:sz w:val="20"/>
              </w:rPr>
              <w:t>R$ 2,0 bi</w:t>
            </w:r>
            <w:r w:rsidR="00BC7235">
              <w:rPr>
                <w:sz w:val="20"/>
              </w:rPr>
              <w:t>lhões</w:t>
            </w:r>
          </w:p>
        </w:tc>
      </w:tr>
      <w:tr w:rsidR="00BB0B43" w14:paraId="55C93EB6" w14:textId="77777777" w:rsidTr="00BC7235">
        <w:tc>
          <w:tcPr>
            <w:tcW w:w="1667" w:type="pct"/>
            <w:tcBorders>
              <w:top w:val="single" w:sz="4" w:space="0" w:color="CCCCCC"/>
              <w:left w:val="single" w:sz="4" w:space="0" w:color="CCCCCC"/>
              <w:bottom w:val="single" w:sz="4" w:space="0" w:color="CCCCCC"/>
              <w:right w:val="single" w:sz="4" w:space="0" w:color="CCCCCC"/>
            </w:tcBorders>
          </w:tcPr>
          <w:p w14:paraId="66D6C2DC" w14:textId="77777777" w:rsidR="00BB0B43" w:rsidRDefault="00000000" w:rsidP="00960C19">
            <w:pPr>
              <w:spacing w:after="0" w:line="240" w:lineRule="auto"/>
              <w:jc w:val="both"/>
            </w:pPr>
            <w:r>
              <w:rPr>
                <w:sz w:val="20"/>
              </w:rPr>
              <w:t>Máximo</w:t>
            </w:r>
          </w:p>
        </w:tc>
        <w:tc>
          <w:tcPr>
            <w:tcW w:w="1667" w:type="pct"/>
            <w:tcBorders>
              <w:top w:val="single" w:sz="4" w:space="0" w:color="CCCCCC"/>
              <w:left w:val="single" w:sz="4" w:space="0" w:color="CCCCCC"/>
              <w:bottom w:val="single" w:sz="4" w:space="0" w:color="CCCCCC"/>
              <w:right w:val="single" w:sz="4" w:space="0" w:color="CCCCCC"/>
            </w:tcBorders>
            <w:vAlign w:val="center"/>
          </w:tcPr>
          <w:p w14:paraId="57FE6AC8" w14:textId="77777777" w:rsidR="00BB0B43" w:rsidRDefault="00000000" w:rsidP="00960C19">
            <w:pPr>
              <w:spacing w:after="0" w:line="240" w:lineRule="auto"/>
              <w:jc w:val="center"/>
            </w:pPr>
            <w:r>
              <w:rPr>
                <w:color w:val="C0392B"/>
                <w:sz w:val="20"/>
              </w:rPr>
              <w:t>49,0%</w:t>
            </w:r>
          </w:p>
        </w:tc>
        <w:tc>
          <w:tcPr>
            <w:tcW w:w="1667" w:type="pct"/>
            <w:tcBorders>
              <w:top w:val="single" w:sz="4" w:space="0" w:color="CCCCCC"/>
              <w:left w:val="single" w:sz="4" w:space="0" w:color="CCCCCC"/>
              <w:bottom w:val="single" w:sz="4" w:space="0" w:color="CCCCCC"/>
              <w:right w:val="single" w:sz="4" w:space="0" w:color="CCCCCC"/>
            </w:tcBorders>
            <w:vAlign w:val="center"/>
          </w:tcPr>
          <w:p w14:paraId="565353F8" w14:textId="315EB025" w:rsidR="00BB0B43" w:rsidRDefault="00000000" w:rsidP="00960C19">
            <w:pPr>
              <w:spacing w:after="0" w:line="240" w:lineRule="auto"/>
              <w:jc w:val="center"/>
            </w:pPr>
            <w:r>
              <w:rPr>
                <w:sz w:val="20"/>
              </w:rPr>
              <w:t>R$ 3,0 bi</w:t>
            </w:r>
            <w:r w:rsidR="00BC7235">
              <w:rPr>
                <w:sz w:val="20"/>
              </w:rPr>
              <w:t>lhões</w:t>
            </w:r>
          </w:p>
        </w:tc>
      </w:tr>
    </w:tbl>
    <w:p w14:paraId="2477C25B" w14:textId="0E02577D" w:rsidR="00BB0B43" w:rsidRPr="00897BBB" w:rsidRDefault="00000000" w:rsidP="009816A9">
      <w:pPr>
        <w:jc w:val="both"/>
        <w:rPr>
          <w:sz w:val="20"/>
          <w:szCs w:val="20"/>
        </w:rPr>
      </w:pPr>
      <w:r w:rsidRPr="00897BBB">
        <w:rPr>
          <w:i/>
          <w:color w:val="6B7280"/>
          <w:sz w:val="16"/>
          <w:szCs w:val="20"/>
        </w:rPr>
        <w:t>Fonte: RGF – Poder Executivo – 3º quadrimestre de 2025.</w:t>
      </w:r>
    </w:p>
    <w:p w14:paraId="0B073792" w14:textId="77777777" w:rsidR="00BB0B43" w:rsidRDefault="00000000" w:rsidP="009816A9">
      <w:pPr>
        <w:pStyle w:val="Ttulo1"/>
        <w:jc w:val="both"/>
      </w:pPr>
      <w:r>
        <w:rPr>
          <w:color w:val="2E7D32"/>
          <w:sz w:val="32"/>
        </w:rPr>
        <w:t>Benefícios Tributários</w:t>
      </w:r>
    </w:p>
    <w:p w14:paraId="2FC44D57" w14:textId="02B002B5" w:rsidR="00BC4C70" w:rsidRDefault="00BC4C70" w:rsidP="009816A9">
      <w:pPr>
        <w:jc w:val="both"/>
      </w:pPr>
      <w:r w:rsidRPr="00BC4C70">
        <w:t>Segundo o</w:t>
      </w:r>
      <w:r>
        <w:t xml:space="preserve"> painel </w:t>
      </w:r>
      <w:r w:rsidRPr="00BC4C70">
        <w:t>Beneficiômetro da Secretaria de Economia do DF</w:t>
      </w:r>
      <w:r>
        <w:rPr>
          <w:rStyle w:val="Refdenotaderodap"/>
        </w:rPr>
        <w:footnoteReference w:id="4"/>
      </w:r>
      <w:r w:rsidRPr="00BC4C70">
        <w:t>, em 2025 o DF concedeu R$ 13,4 bilhões em benefícios tributários</w:t>
      </w:r>
      <w:r>
        <w:t xml:space="preserve">. </w:t>
      </w:r>
      <w:r w:rsidRPr="00BC4C70">
        <w:t xml:space="preserve"> </w:t>
      </w:r>
      <w:r>
        <w:t>O</w:t>
      </w:r>
      <w:r>
        <w:t xml:space="preserve"> volume </w:t>
      </w:r>
      <w:r>
        <w:t xml:space="preserve">é </w:t>
      </w:r>
      <w:r>
        <w:t xml:space="preserve">expressivo, especialmente se considerarmos que a </w:t>
      </w:r>
      <w:r w:rsidRPr="00663D09">
        <w:t xml:space="preserve">arrecadação total </w:t>
      </w:r>
      <w:r>
        <w:t xml:space="preserve">com impostos, no mesmo período, foi </w:t>
      </w:r>
      <w:r w:rsidRPr="00663D09">
        <w:t>de R$ 26,4 bilhões</w:t>
      </w:r>
      <w:r w:rsidRPr="00BC4C70">
        <w:t xml:space="preserve">. </w:t>
      </w:r>
      <w:r>
        <w:t xml:space="preserve">O painel </w:t>
      </w:r>
      <w:r w:rsidRPr="00BC4C70">
        <w:t>registra 16.996 beneficiários distintos, mas a concentração é alta: os 10 maiores absorvem cerca de 41% do total, com domínio dos setores de saúde e abastecimento. Os principais campos de atenção:</w:t>
      </w:r>
    </w:p>
    <w:p w14:paraId="1BAC675D" w14:textId="1C6DF8E0" w:rsidR="00BB0B43" w:rsidRDefault="00000000" w:rsidP="009816A9">
      <w:pPr>
        <w:pStyle w:val="Commarcadores"/>
        <w:jc w:val="both"/>
      </w:pPr>
      <w:r>
        <w:t>ICMS representa 8</w:t>
      </w:r>
      <w:r w:rsidR="00663D09">
        <w:t>7</w:t>
      </w:r>
      <w:r>
        <w:t>% das renúncias</w:t>
      </w:r>
    </w:p>
    <w:p w14:paraId="400610E2" w14:textId="6C3E716A" w:rsidR="00BB0B43" w:rsidRDefault="00BC7235" w:rsidP="009816A9">
      <w:pPr>
        <w:pStyle w:val="Commarcadores"/>
        <w:jc w:val="both"/>
      </w:pPr>
      <w:r>
        <w:t>Eventual ausência de governança formal sobre prazos, contrapartidas e metas de cada benefício</w:t>
      </w:r>
    </w:p>
    <w:p w14:paraId="43C28D7C" w14:textId="77777777" w:rsidR="00BB0B43" w:rsidRDefault="00000000" w:rsidP="009816A9">
      <w:pPr>
        <w:pStyle w:val="Commarcadores"/>
        <w:jc w:val="both"/>
      </w:pPr>
      <w:r>
        <w:t>Necessidade de avaliação periódica de custo-benefício por desoneração</w:t>
      </w:r>
    </w:p>
    <w:p w14:paraId="35F83756" w14:textId="379BB339" w:rsidR="00BC7235" w:rsidRDefault="00BC7235" w:rsidP="009816A9">
      <w:pPr>
        <w:pStyle w:val="Commarcadores"/>
        <w:jc w:val="both"/>
      </w:pPr>
      <w:r>
        <w:t>Impactos da reforma tributária sobre esse cenário</w:t>
      </w:r>
    </w:p>
    <w:p w14:paraId="2A17D202" w14:textId="77777777" w:rsidR="00BB0B43" w:rsidRDefault="00000000" w:rsidP="009816A9">
      <w:pPr>
        <w:pStyle w:val="Ttulo1"/>
        <w:jc w:val="both"/>
      </w:pPr>
      <w:r>
        <w:rPr>
          <w:color w:val="2E7D32"/>
          <w:sz w:val="32"/>
        </w:rPr>
        <w:lastRenderedPageBreak/>
        <w:t>Parcerias Público-Privadas</w:t>
      </w:r>
    </w:p>
    <w:p w14:paraId="6EE05A4F" w14:textId="686681FC" w:rsidR="00BB0B43" w:rsidRDefault="00000000" w:rsidP="009816A9">
      <w:pPr>
        <w:jc w:val="both"/>
      </w:pPr>
      <w:r>
        <w:t>O comprometimento da RCL com PPPs em 2025 é de 0,23% (R$ 91 mi</w:t>
      </w:r>
      <w:r w:rsidR="00BC7235">
        <w:t>lhões</w:t>
      </w:r>
      <w:r>
        <w:t>). A projeção indica um pico de 3,16% em 2026 (R$ 1</w:t>
      </w:r>
      <w:r w:rsidR="00BC7235">
        <w:t>,3</w:t>
      </w:r>
      <w:r>
        <w:t xml:space="preserve"> bi</w:t>
      </w:r>
      <w:r w:rsidR="00BC7235">
        <w:t>lhões</w:t>
      </w:r>
      <w:r>
        <w:t>), ainda dentro do limite legal de 5% da RCL (Lei 11.079/2004) — mas com pouca margem se novas PPPs forem contratadas sem ajustes compensatórios.</w:t>
      </w:r>
    </w:p>
    <w:p w14:paraId="78A62244" w14:textId="77777777" w:rsidR="00BB0B43" w:rsidRDefault="00000000" w:rsidP="009816A9">
      <w:pPr>
        <w:jc w:val="both"/>
      </w:pPr>
      <w:r>
        <w:rPr>
          <w:b/>
        </w:rPr>
        <w:t>Carteira de projetos:</w:t>
      </w:r>
    </w:p>
    <w:tbl>
      <w:tblPr>
        <w:tblW w:w="5000" w:type="pct"/>
        <w:tblLook w:val="04A0" w:firstRow="1" w:lastRow="0" w:firstColumn="1" w:lastColumn="0" w:noHBand="0" w:noVBand="1"/>
      </w:tblPr>
      <w:tblGrid>
        <w:gridCol w:w="7003"/>
        <w:gridCol w:w="3185"/>
      </w:tblGrid>
      <w:tr w:rsidR="00BB0B43" w14:paraId="2E05583C" w14:textId="77777777" w:rsidTr="00BC7235">
        <w:tc>
          <w:tcPr>
            <w:tcW w:w="3437" w:type="pct"/>
            <w:tcBorders>
              <w:top w:val="single" w:sz="4" w:space="0" w:color="2E7D32"/>
              <w:left w:val="single" w:sz="4" w:space="0" w:color="2E7D32"/>
              <w:bottom w:val="single" w:sz="4" w:space="0" w:color="2E7D32"/>
              <w:right w:val="single" w:sz="4" w:space="0" w:color="2E7D32"/>
            </w:tcBorders>
            <w:shd w:val="clear" w:color="auto" w:fill="2E7D32"/>
            <w:vAlign w:val="center"/>
          </w:tcPr>
          <w:p w14:paraId="187D8A15" w14:textId="77777777" w:rsidR="00BB0B43" w:rsidRDefault="00000000" w:rsidP="00960C19">
            <w:pPr>
              <w:spacing w:after="0" w:line="240" w:lineRule="auto"/>
              <w:jc w:val="center"/>
            </w:pPr>
            <w:r>
              <w:rPr>
                <w:b/>
                <w:color w:val="FFFFFF"/>
                <w:sz w:val="20"/>
              </w:rPr>
              <w:t>Projeto</w:t>
            </w:r>
          </w:p>
        </w:tc>
        <w:tc>
          <w:tcPr>
            <w:tcW w:w="1563" w:type="pct"/>
            <w:tcBorders>
              <w:top w:val="single" w:sz="4" w:space="0" w:color="2E7D32"/>
              <w:left w:val="single" w:sz="4" w:space="0" w:color="2E7D32"/>
              <w:bottom w:val="single" w:sz="4" w:space="0" w:color="2E7D32"/>
              <w:right w:val="single" w:sz="4" w:space="0" w:color="2E7D32"/>
            </w:tcBorders>
            <w:shd w:val="clear" w:color="auto" w:fill="2E7D32"/>
            <w:vAlign w:val="center"/>
          </w:tcPr>
          <w:p w14:paraId="23271961" w14:textId="77777777" w:rsidR="00BB0B43" w:rsidRDefault="00000000" w:rsidP="00960C19">
            <w:pPr>
              <w:spacing w:after="0" w:line="240" w:lineRule="auto"/>
              <w:jc w:val="center"/>
            </w:pPr>
            <w:r>
              <w:rPr>
                <w:b/>
                <w:color w:val="FFFFFF"/>
                <w:sz w:val="20"/>
              </w:rPr>
              <w:t>Status</w:t>
            </w:r>
          </w:p>
        </w:tc>
      </w:tr>
      <w:tr w:rsidR="00BB0B43" w14:paraId="70E30DD0" w14:textId="77777777" w:rsidTr="00BC7235">
        <w:tc>
          <w:tcPr>
            <w:tcW w:w="3437" w:type="pct"/>
            <w:tcBorders>
              <w:top w:val="single" w:sz="4" w:space="0" w:color="CCCCCC"/>
              <w:left w:val="single" w:sz="4" w:space="0" w:color="CCCCCC"/>
              <w:bottom w:val="single" w:sz="4" w:space="0" w:color="CCCCCC"/>
              <w:right w:val="single" w:sz="4" w:space="0" w:color="CCCCCC"/>
            </w:tcBorders>
            <w:vAlign w:val="center"/>
          </w:tcPr>
          <w:p w14:paraId="1E16BFE7" w14:textId="77777777" w:rsidR="00BB0B43" w:rsidRDefault="00000000" w:rsidP="00960C19">
            <w:pPr>
              <w:spacing w:after="0" w:line="240" w:lineRule="auto"/>
            </w:pPr>
            <w:r>
              <w:rPr>
                <w:sz w:val="20"/>
              </w:rPr>
              <w:t>Prestação dos serviços de iluminação pública</w:t>
            </w:r>
          </w:p>
        </w:tc>
        <w:tc>
          <w:tcPr>
            <w:tcW w:w="1563" w:type="pct"/>
            <w:tcBorders>
              <w:top w:val="single" w:sz="4" w:space="0" w:color="CCCCCC"/>
              <w:left w:val="single" w:sz="4" w:space="0" w:color="CCCCCC"/>
              <w:bottom w:val="single" w:sz="4" w:space="0" w:color="CCCCCC"/>
              <w:right w:val="single" w:sz="4" w:space="0" w:color="CCCCCC"/>
            </w:tcBorders>
            <w:vAlign w:val="center"/>
          </w:tcPr>
          <w:p w14:paraId="69CCCD0B" w14:textId="77777777" w:rsidR="00BB0B43" w:rsidRDefault="00000000" w:rsidP="00960C19">
            <w:pPr>
              <w:spacing w:after="0" w:line="240" w:lineRule="auto"/>
              <w:jc w:val="center"/>
            </w:pPr>
            <w:r>
              <w:rPr>
                <w:b/>
                <w:color w:val="2E7D32"/>
                <w:sz w:val="20"/>
              </w:rPr>
              <w:t>Contratada</w:t>
            </w:r>
          </w:p>
        </w:tc>
      </w:tr>
      <w:tr w:rsidR="00BB0B43" w14:paraId="18E2C04C" w14:textId="77777777" w:rsidTr="00BC7235">
        <w:tc>
          <w:tcPr>
            <w:tcW w:w="3437" w:type="pct"/>
            <w:tcBorders>
              <w:top w:val="single" w:sz="4" w:space="0" w:color="CCCCCC"/>
              <w:left w:val="single" w:sz="4" w:space="0" w:color="CCCCCC"/>
              <w:bottom w:val="single" w:sz="4" w:space="0" w:color="CCCCCC"/>
              <w:right w:val="single" w:sz="4" w:space="0" w:color="CCCCCC"/>
            </w:tcBorders>
            <w:vAlign w:val="center"/>
          </w:tcPr>
          <w:p w14:paraId="5195D734" w14:textId="77777777" w:rsidR="00BB0B43" w:rsidRDefault="00000000" w:rsidP="00960C19">
            <w:pPr>
              <w:spacing w:after="0" w:line="240" w:lineRule="auto"/>
            </w:pPr>
            <w:r>
              <w:rPr>
                <w:sz w:val="20"/>
              </w:rPr>
              <w:t>Nova Saída Norte</w:t>
            </w:r>
          </w:p>
        </w:tc>
        <w:tc>
          <w:tcPr>
            <w:tcW w:w="1563" w:type="pct"/>
            <w:tcBorders>
              <w:top w:val="single" w:sz="4" w:space="0" w:color="CCCCCC"/>
              <w:left w:val="single" w:sz="4" w:space="0" w:color="CCCCCC"/>
              <w:bottom w:val="single" w:sz="4" w:space="0" w:color="CCCCCC"/>
              <w:right w:val="single" w:sz="4" w:space="0" w:color="CCCCCC"/>
            </w:tcBorders>
            <w:vAlign w:val="center"/>
          </w:tcPr>
          <w:p w14:paraId="7C6DBC6E" w14:textId="77777777" w:rsidR="00BB0B43" w:rsidRDefault="00000000" w:rsidP="00960C19">
            <w:pPr>
              <w:spacing w:after="0" w:line="240" w:lineRule="auto"/>
              <w:jc w:val="center"/>
            </w:pPr>
            <w:r>
              <w:rPr>
                <w:b/>
                <w:color w:val="1A5FA6"/>
                <w:sz w:val="20"/>
              </w:rPr>
              <w:t>A contratar</w:t>
            </w:r>
          </w:p>
        </w:tc>
      </w:tr>
      <w:tr w:rsidR="00BB0B43" w14:paraId="73D9E2E9" w14:textId="77777777" w:rsidTr="00BC7235">
        <w:tc>
          <w:tcPr>
            <w:tcW w:w="3437" w:type="pct"/>
            <w:tcBorders>
              <w:top w:val="single" w:sz="4" w:space="0" w:color="CCCCCC"/>
              <w:left w:val="single" w:sz="4" w:space="0" w:color="CCCCCC"/>
              <w:bottom w:val="single" w:sz="4" w:space="0" w:color="CCCCCC"/>
              <w:right w:val="single" w:sz="4" w:space="0" w:color="CCCCCC"/>
            </w:tcBorders>
            <w:vAlign w:val="center"/>
          </w:tcPr>
          <w:p w14:paraId="4DF7F2A8" w14:textId="1ADF9F36" w:rsidR="00BB0B43" w:rsidRDefault="00000000" w:rsidP="00960C19">
            <w:pPr>
              <w:spacing w:after="0" w:line="240" w:lineRule="auto"/>
            </w:pPr>
            <w:r>
              <w:rPr>
                <w:sz w:val="20"/>
              </w:rPr>
              <w:t>Avenida das Cidades</w:t>
            </w:r>
            <w:r w:rsidR="003F4C16">
              <w:rPr>
                <w:sz w:val="20"/>
              </w:rPr>
              <w:t xml:space="preserve"> (antiga Interbairros)</w:t>
            </w:r>
          </w:p>
        </w:tc>
        <w:tc>
          <w:tcPr>
            <w:tcW w:w="1563" w:type="pct"/>
            <w:tcBorders>
              <w:top w:val="single" w:sz="4" w:space="0" w:color="CCCCCC"/>
              <w:left w:val="single" w:sz="4" w:space="0" w:color="CCCCCC"/>
              <w:bottom w:val="single" w:sz="4" w:space="0" w:color="CCCCCC"/>
              <w:right w:val="single" w:sz="4" w:space="0" w:color="CCCCCC"/>
            </w:tcBorders>
            <w:vAlign w:val="center"/>
          </w:tcPr>
          <w:p w14:paraId="3C250913" w14:textId="77777777" w:rsidR="00BB0B43" w:rsidRDefault="00000000" w:rsidP="00960C19">
            <w:pPr>
              <w:spacing w:after="0" w:line="240" w:lineRule="auto"/>
              <w:jc w:val="center"/>
            </w:pPr>
            <w:r>
              <w:rPr>
                <w:b/>
                <w:color w:val="1A5FA6"/>
                <w:sz w:val="20"/>
              </w:rPr>
              <w:t>A contratar</w:t>
            </w:r>
          </w:p>
        </w:tc>
      </w:tr>
      <w:tr w:rsidR="00BB0B43" w14:paraId="67B669F1" w14:textId="77777777" w:rsidTr="00BC7235">
        <w:tc>
          <w:tcPr>
            <w:tcW w:w="3437" w:type="pct"/>
            <w:tcBorders>
              <w:top w:val="single" w:sz="4" w:space="0" w:color="CCCCCC"/>
              <w:left w:val="single" w:sz="4" w:space="0" w:color="CCCCCC"/>
              <w:bottom w:val="single" w:sz="4" w:space="0" w:color="CCCCCC"/>
              <w:right w:val="single" w:sz="4" w:space="0" w:color="CCCCCC"/>
            </w:tcBorders>
            <w:vAlign w:val="center"/>
          </w:tcPr>
          <w:p w14:paraId="08E2E9A7" w14:textId="77777777" w:rsidR="00BB0B43" w:rsidRDefault="00000000" w:rsidP="00960C19">
            <w:pPr>
              <w:spacing w:after="0" w:line="240" w:lineRule="auto"/>
            </w:pPr>
            <w:r>
              <w:rPr>
                <w:sz w:val="20"/>
              </w:rPr>
              <w:t>Gestão do Aterro Sanitário</w:t>
            </w:r>
          </w:p>
        </w:tc>
        <w:tc>
          <w:tcPr>
            <w:tcW w:w="1563" w:type="pct"/>
            <w:tcBorders>
              <w:top w:val="single" w:sz="4" w:space="0" w:color="CCCCCC"/>
              <w:left w:val="single" w:sz="4" w:space="0" w:color="CCCCCC"/>
              <w:bottom w:val="single" w:sz="4" w:space="0" w:color="CCCCCC"/>
              <w:right w:val="single" w:sz="4" w:space="0" w:color="CCCCCC"/>
            </w:tcBorders>
            <w:vAlign w:val="center"/>
          </w:tcPr>
          <w:p w14:paraId="042A5974" w14:textId="77777777" w:rsidR="00BB0B43" w:rsidRDefault="00000000" w:rsidP="00960C19">
            <w:pPr>
              <w:spacing w:after="0" w:line="240" w:lineRule="auto"/>
              <w:jc w:val="center"/>
            </w:pPr>
            <w:r>
              <w:rPr>
                <w:b/>
                <w:color w:val="1A5FA6"/>
                <w:sz w:val="20"/>
              </w:rPr>
              <w:t>A contratar</w:t>
            </w:r>
          </w:p>
        </w:tc>
      </w:tr>
      <w:tr w:rsidR="00BB0B43" w14:paraId="0A93EEDD" w14:textId="77777777" w:rsidTr="00BC7235">
        <w:tc>
          <w:tcPr>
            <w:tcW w:w="3437" w:type="pct"/>
            <w:tcBorders>
              <w:top w:val="single" w:sz="4" w:space="0" w:color="CCCCCC"/>
              <w:left w:val="single" w:sz="4" w:space="0" w:color="CCCCCC"/>
              <w:bottom w:val="single" w:sz="4" w:space="0" w:color="CCCCCC"/>
              <w:right w:val="single" w:sz="4" w:space="0" w:color="CCCCCC"/>
            </w:tcBorders>
            <w:vAlign w:val="center"/>
          </w:tcPr>
          <w:p w14:paraId="5C0B223C" w14:textId="77777777" w:rsidR="00BB0B43" w:rsidRDefault="00000000" w:rsidP="00960C19">
            <w:pPr>
              <w:spacing w:after="0" w:line="240" w:lineRule="auto"/>
            </w:pPr>
            <w:r>
              <w:rPr>
                <w:sz w:val="20"/>
              </w:rPr>
              <w:t>Ecoparques</w:t>
            </w:r>
          </w:p>
        </w:tc>
        <w:tc>
          <w:tcPr>
            <w:tcW w:w="1563" w:type="pct"/>
            <w:tcBorders>
              <w:top w:val="single" w:sz="4" w:space="0" w:color="CCCCCC"/>
              <w:left w:val="single" w:sz="4" w:space="0" w:color="CCCCCC"/>
              <w:bottom w:val="single" w:sz="4" w:space="0" w:color="CCCCCC"/>
              <w:right w:val="single" w:sz="4" w:space="0" w:color="CCCCCC"/>
            </w:tcBorders>
            <w:vAlign w:val="center"/>
          </w:tcPr>
          <w:p w14:paraId="322D2FEA" w14:textId="77777777" w:rsidR="00BB0B43" w:rsidRDefault="00000000" w:rsidP="00960C19">
            <w:pPr>
              <w:spacing w:after="0" w:line="240" w:lineRule="auto"/>
              <w:jc w:val="center"/>
            </w:pPr>
            <w:r>
              <w:rPr>
                <w:b/>
                <w:color w:val="1A5FA6"/>
                <w:sz w:val="20"/>
              </w:rPr>
              <w:t>A contratar</w:t>
            </w:r>
          </w:p>
        </w:tc>
      </w:tr>
      <w:tr w:rsidR="00BB0B43" w14:paraId="7B9F1048" w14:textId="77777777" w:rsidTr="00BC7235">
        <w:tc>
          <w:tcPr>
            <w:tcW w:w="3437" w:type="pct"/>
            <w:tcBorders>
              <w:top w:val="single" w:sz="4" w:space="0" w:color="CCCCCC"/>
              <w:left w:val="single" w:sz="4" w:space="0" w:color="CCCCCC"/>
              <w:bottom w:val="single" w:sz="4" w:space="0" w:color="CCCCCC"/>
              <w:right w:val="single" w:sz="4" w:space="0" w:color="CCCCCC"/>
            </w:tcBorders>
            <w:vAlign w:val="center"/>
          </w:tcPr>
          <w:p w14:paraId="683F595E" w14:textId="77777777" w:rsidR="00BB0B43" w:rsidRDefault="00000000" w:rsidP="00960C19">
            <w:pPr>
              <w:spacing w:after="0" w:line="240" w:lineRule="auto"/>
            </w:pPr>
            <w:r>
              <w:rPr>
                <w:sz w:val="20"/>
              </w:rPr>
              <w:t>Logística de Medicamentos</w:t>
            </w:r>
          </w:p>
        </w:tc>
        <w:tc>
          <w:tcPr>
            <w:tcW w:w="1563" w:type="pct"/>
            <w:tcBorders>
              <w:top w:val="single" w:sz="4" w:space="0" w:color="CCCCCC"/>
              <w:left w:val="single" w:sz="4" w:space="0" w:color="CCCCCC"/>
              <w:bottom w:val="single" w:sz="4" w:space="0" w:color="CCCCCC"/>
              <w:right w:val="single" w:sz="4" w:space="0" w:color="CCCCCC"/>
            </w:tcBorders>
            <w:vAlign w:val="center"/>
          </w:tcPr>
          <w:p w14:paraId="6154571E" w14:textId="77777777" w:rsidR="00BB0B43" w:rsidRDefault="00000000" w:rsidP="00960C19">
            <w:pPr>
              <w:spacing w:after="0" w:line="240" w:lineRule="auto"/>
              <w:jc w:val="center"/>
            </w:pPr>
            <w:r>
              <w:rPr>
                <w:b/>
                <w:color w:val="1A5FA6"/>
                <w:sz w:val="20"/>
              </w:rPr>
              <w:t>A contratar</w:t>
            </w:r>
          </w:p>
        </w:tc>
      </w:tr>
      <w:tr w:rsidR="00BB0B43" w14:paraId="1810E36B" w14:textId="77777777" w:rsidTr="00BC7235">
        <w:tc>
          <w:tcPr>
            <w:tcW w:w="3437" w:type="pct"/>
            <w:tcBorders>
              <w:top w:val="single" w:sz="4" w:space="0" w:color="CCCCCC"/>
              <w:left w:val="single" w:sz="4" w:space="0" w:color="CCCCCC"/>
              <w:bottom w:val="single" w:sz="4" w:space="0" w:color="CCCCCC"/>
              <w:right w:val="single" w:sz="4" w:space="0" w:color="CCCCCC"/>
            </w:tcBorders>
            <w:vAlign w:val="center"/>
          </w:tcPr>
          <w:p w14:paraId="20409A10" w14:textId="77777777" w:rsidR="00BB0B43" w:rsidRDefault="00000000" w:rsidP="00960C19">
            <w:pPr>
              <w:spacing w:after="0" w:line="240" w:lineRule="auto"/>
            </w:pPr>
            <w:r>
              <w:rPr>
                <w:sz w:val="20"/>
              </w:rPr>
              <w:t>Rede de Apoio de Diagnóstico</w:t>
            </w:r>
          </w:p>
        </w:tc>
        <w:tc>
          <w:tcPr>
            <w:tcW w:w="1563" w:type="pct"/>
            <w:tcBorders>
              <w:top w:val="single" w:sz="4" w:space="0" w:color="CCCCCC"/>
              <w:left w:val="single" w:sz="4" w:space="0" w:color="CCCCCC"/>
              <w:bottom w:val="single" w:sz="4" w:space="0" w:color="CCCCCC"/>
              <w:right w:val="single" w:sz="4" w:space="0" w:color="CCCCCC"/>
            </w:tcBorders>
            <w:vAlign w:val="center"/>
          </w:tcPr>
          <w:p w14:paraId="69630DAF" w14:textId="77777777" w:rsidR="00BB0B43" w:rsidRDefault="00000000" w:rsidP="00960C19">
            <w:pPr>
              <w:spacing w:after="0" w:line="240" w:lineRule="auto"/>
              <w:jc w:val="center"/>
            </w:pPr>
            <w:r>
              <w:rPr>
                <w:b/>
                <w:color w:val="1A5FA6"/>
                <w:sz w:val="20"/>
              </w:rPr>
              <w:t>A contratar</w:t>
            </w:r>
          </w:p>
        </w:tc>
      </w:tr>
      <w:tr w:rsidR="00BB0B43" w14:paraId="561637EB" w14:textId="77777777" w:rsidTr="00BC7235">
        <w:tc>
          <w:tcPr>
            <w:tcW w:w="3437" w:type="pct"/>
            <w:tcBorders>
              <w:top w:val="single" w:sz="4" w:space="0" w:color="CCCCCC"/>
              <w:left w:val="single" w:sz="4" w:space="0" w:color="CCCCCC"/>
              <w:bottom w:val="single" w:sz="4" w:space="0" w:color="CCCCCC"/>
              <w:right w:val="single" w:sz="4" w:space="0" w:color="CCCCCC"/>
            </w:tcBorders>
            <w:vAlign w:val="center"/>
          </w:tcPr>
          <w:p w14:paraId="5AF1487A" w14:textId="77777777" w:rsidR="00BB0B43" w:rsidRDefault="00000000" w:rsidP="00960C19">
            <w:pPr>
              <w:spacing w:after="0" w:line="240" w:lineRule="auto"/>
            </w:pPr>
            <w:r>
              <w:rPr>
                <w:sz w:val="20"/>
              </w:rPr>
              <w:t>Transporte Metroviário</w:t>
            </w:r>
          </w:p>
        </w:tc>
        <w:tc>
          <w:tcPr>
            <w:tcW w:w="1563" w:type="pct"/>
            <w:tcBorders>
              <w:top w:val="single" w:sz="4" w:space="0" w:color="CCCCCC"/>
              <w:left w:val="single" w:sz="4" w:space="0" w:color="CCCCCC"/>
              <w:bottom w:val="single" w:sz="4" w:space="0" w:color="CCCCCC"/>
              <w:right w:val="single" w:sz="4" w:space="0" w:color="CCCCCC"/>
            </w:tcBorders>
            <w:vAlign w:val="center"/>
          </w:tcPr>
          <w:p w14:paraId="75764A88" w14:textId="77777777" w:rsidR="00BB0B43" w:rsidRDefault="00000000" w:rsidP="00960C19">
            <w:pPr>
              <w:spacing w:after="0" w:line="240" w:lineRule="auto"/>
              <w:jc w:val="center"/>
            </w:pPr>
            <w:r>
              <w:rPr>
                <w:b/>
                <w:color w:val="1A5FA6"/>
                <w:sz w:val="20"/>
              </w:rPr>
              <w:t>A contratar</w:t>
            </w:r>
          </w:p>
        </w:tc>
      </w:tr>
      <w:tr w:rsidR="00BB0B43" w14:paraId="5EC7F7E8" w14:textId="77777777" w:rsidTr="00BC7235">
        <w:tc>
          <w:tcPr>
            <w:tcW w:w="3437" w:type="pct"/>
            <w:tcBorders>
              <w:top w:val="single" w:sz="4" w:space="0" w:color="CCCCCC"/>
              <w:left w:val="single" w:sz="4" w:space="0" w:color="CCCCCC"/>
              <w:bottom w:val="single" w:sz="4" w:space="0" w:color="CCCCCC"/>
              <w:right w:val="single" w:sz="4" w:space="0" w:color="CCCCCC"/>
            </w:tcBorders>
            <w:vAlign w:val="center"/>
          </w:tcPr>
          <w:p w14:paraId="2D6C1D98" w14:textId="77777777" w:rsidR="00BB0B43" w:rsidRDefault="00000000" w:rsidP="00960C19">
            <w:pPr>
              <w:spacing w:after="0" w:line="240" w:lineRule="auto"/>
            </w:pPr>
            <w:r>
              <w:rPr>
                <w:sz w:val="20"/>
              </w:rPr>
              <w:t>VLT na W3</w:t>
            </w:r>
          </w:p>
        </w:tc>
        <w:tc>
          <w:tcPr>
            <w:tcW w:w="1563" w:type="pct"/>
            <w:tcBorders>
              <w:top w:val="single" w:sz="4" w:space="0" w:color="CCCCCC"/>
              <w:left w:val="single" w:sz="4" w:space="0" w:color="CCCCCC"/>
              <w:bottom w:val="single" w:sz="4" w:space="0" w:color="CCCCCC"/>
              <w:right w:val="single" w:sz="4" w:space="0" w:color="CCCCCC"/>
            </w:tcBorders>
            <w:vAlign w:val="center"/>
          </w:tcPr>
          <w:p w14:paraId="27B8274A" w14:textId="77777777" w:rsidR="00BB0B43" w:rsidRDefault="00000000" w:rsidP="00960C19">
            <w:pPr>
              <w:spacing w:after="0" w:line="240" w:lineRule="auto"/>
              <w:jc w:val="center"/>
            </w:pPr>
            <w:r>
              <w:rPr>
                <w:b/>
                <w:color w:val="1A5FA6"/>
                <w:sz w:val="20"/>
              </w:rPr>
              <w:t>A contratar</w:t>
            </w:r>
          </w:p>
        </w:tc>
      </w:tr>
      <w:tr w:rsidR="00BB0B43" w14:paraId="62BB8D4A" w14:textId="77777777" w:rsidTr="00BC7235">
        <w:tc>
          <w:tcPr>
            <w:tcW w:w="3437" w:type="pct"/>
            <w:tcBorders>
              <w:top w:val="single" w:sz="4" w:space="0" w:color="CCCCCC"/>
              <w:left w:val="single" w:sz="4" w:space="0" w:color="CCCCCC"/>
              <w:bottom w:val="single" w:sz="4" w:space="0" w:color="CCCCCC"/>
              <w:right w:val="single" w:sz="4" w:space="0" w:color="CCCCCC"/>
            </w:tcBorders>
            <w:vAlign w:val="center"/>
          </w:tcPr>
          <w:p w14:paraId="387E57B3" w14:textId="77777777" w:rsidR="00BB0B43" w:rsidRDefault="00000000" w:rsidP="00960C19">
            <w:pPr>
              <w:spacing w:after="0" w:line="240" w:lineRule="auto"/>
            </w:pPr>
            <w:r>
              <w:rPr>
                <w:sz w:val="20"/>
              </w:rPr>
              <w:t>Processamento de roupas — Saúde</w:t>
            </w:r>
          </w:p>
        </w:tc>
        <w:tc>
          <w:tcPr>
            <w:tcW w:w="1563" w:type="pct"/>
            <w:tcBorders>
              <w:top w:val="single" w:sz="4" w:space="0" w:color="CCCCCC"/>
              <w:left w:val="single" w:sz="4" w:space="0" w:color="CCCCCC"/>
              <w:bottom w:val="single" w:sz="4" w:space="0" w:color="CCCCCC"/>
              <w:right w:val="single" w:sz="4" w:space="0" w:color="CCCCCC"/>
            </w:tcBorders>
            <w:vAlign w:val="center"/>
          </w:tcPr>
          <w:p w14:paraId="61F72E64" w14:textId="77777777" w:rsidR="00BB0B43" w:rsidRDefault="00000000" w:rsidP="00960C19">
            <w:pPr>
              <w:spacing w:after="0" w:line="240" w:lineRule="auto"/>
              <w:jc w:val="center"/>
            </w:pPr>
            <w:r>
              <w:rPr>
                <w:b/>
                <w:color w:val="1A5FA6"/>
                <w:sz w:val="20"/>
              </w:rPr>
              <w:t>A contratar</w:t>
            </w:r>
          </w:p>
        </w:tc>
      </w:tr>
      <w:tr w:rsidR="00BB0B43" w14:paraId="0642437C" w14:textId="77777777" w:rsidTr="00BC7235">
        <w:tc>
          <w:tcPr>
            <w:tcW w:w="3437" w:type="pct"/>
            <w:tcBorders>
              <w:top w:val="single" w:sz="4" w:space="0" w:color="CCCCCC"/>
              <w:left w:val="single" w:sz="4" w:space="0" w:color="CCCCCC"/>
              <w:bottom w:val="single" w:sz="4" w:space="0" w:color="CCCCCC"/>
              <w:right w:val="single" w:sz="4" w:space="0" w:color="CCCCCC"/>
            </w:tcBorders>
            <w:vAlign w:val="center"/>
          </w:tcPr>
          <w:p w14:paraId="50283D5A" w14:textId="77777777" w:rsidR="00BB0B43" w:rsidRDefault="00000000" w:rsidP="00960C19">
            <w:pPr>
              <w:spacing w:after="0" w:line="240" w:lineRule="auto"/>
            </w:pPr>
            <w:r>
              <w:rPr>
                <w:sz w:val="20"/>
              </w:rPr>
              <w:t>BRT Sul e Oeste</w:t>
            </w:r>
          </w:p>
        </w:tc>
        <w:tc>
          <w:tcPr>
            <w:tcW w:w="1563" w:type="pct"/>
            <w:tcBorders>
              <w:top w:val="single" w:sz="4" w:space="0" w:color="CCCCCC"/>
              <w:left w:val="single" w:sz="4" w:space="0" w:color="CCCCCC"/>
              <w:bottom w:val="single" w:sz="4" w:space="0" w:color="CCCCCC"/>
              <w:right w:val="single" w:sz="4" w:space="0" w:color="CCCCCC"/>
            </w:tcBorders>
            <w:vAlign w:val="center"/>
          </w:tcPr>
          <w:p w14:paraId="32C68DFF" w14:textId="77777777" w:rsidR="00BB0B43" w:rsidRDefault="00000000" w:rsidP="00960C19">
            <w:pPr>
              <w:spacing w:after="0" w:line="240" w:lineRule="auto"/>
              <w:jc w:val="center"/>
            </w:pPr>
            <w:r>
              <w:rPr>
                <w:b/>
                <w:color w:val="C47A10"/>
                <w:sz w:val="20"/>
              </w:rPr>
              <w:t>Suspenso</w:t>
            </w:r>
          </w:p>
        </w:tc>
      </w:tr>
    </w:tbl>
    <w:p w14:paraId="3723A957" w14:textId="41C8DE8C" w:rsidR="00BB0B43" w:rsidRPr="00897BBB" w:rsidRDefault="00000000" w:rsidP="009816A9">
      <w:pPr>
        <w:jc w:val="both"/>
        <w:rPr>
          <w:sz w:val="20"/>
          <w:szCs w:val="20"/>
        </w:rPr>
      </w:pPr>
      <w:r w:rsidRPr="00897BBB">
        <w:rPr>
          <w:i/>
          <w:color w:val="6B7280"/>
          <w:sz w:val="16"/>
          <w:szCs w:val="20"/>
        </w:rPr>
        <w:t>Fonte: Demonstrativo das Parcerias Público-Privadas do RREO – 6º bimestre de 2025.</w:t>
      </w:r>
    </w:p>
    <w:p w14:paraId="30351D46" w14:textId="791F6359" w:rsidR="00655466" w:rsidRDefault="00655466" w:rsidP="007A2D89">
      <w:pPr>
        <w:pStyle w:val="Ttulo1"/>
        <w:spacing w:after="240"/>
        <w:jc w:val="both"/>
        <w:rPr>
          <w:color w:val="2E7D32"/>
          <w:sz w:val="32"/>
        </w:rPr>
      </w:pPr>
      <w:r>
        <w:rPr>
          <w:color w:val="2E7D32"/>
          <w:sz w:val="32"/>
        </w:rPr>
        <w:t>Riscos fiscais</w:t>
      </w:r>
    </w:p>
    <w:p w14:paraId="45AB86D5" w14:textId="3739A58C" w:rsidR="00655466" w:rsidRDefault="00655466" w:rsidP="00655466">
      <w:pPr>
        <w:jc w:val="both"/>
      </w:pPr>
      <w:r>
        <w:t>Além dos desafios já observados em caixa, poupança corrente e investimento, o DF está exposto a riscos fiscais relevantes. O Anexo de Riscos Fiscais do PLDO 2027 estima impacto potencial total de R$ 35,6 bilhões, valor expressivo diante da atual restrição de liquidez e da baixa margem fiscal do D</w:t>
      </w:r>
      <w:r>
        <w:t>F</w:t>
      </w:r>
      <w:r>
        <w:t>.</w:t>
      </w:r>
    </w:p>
    <w:p w14:paraId="70E5E95B" w14:textId="77777777" w:rsidR="00655466" w:rsidRDefault="00655466" w:rsidP="00655466">
      <w:pPr>
        <w:jc w:val="both"/>
      </w:pPr>
      <w:r>
        <w:t>O principal risco decorre de controvérsias relacionadas ao IRRF incidente sobre remunerações pagas com recursos do FCDF. A eventual obrigação de ressarcimento à União, referente ao período de 2003 a 2025, é estimada em R$ 22,8 bilhões. Há ainda risco adicional de R$ 1,5 bilhão associado à suspensão dos repasses do IRRF relativos ao exercício de 2026. Somados, esses valores representam cerca de R$ 24,3 bilhões em riscos ligados ao FCDF.</w:t>
      </w:r>
    </w:p>
    <w:p w14:paraId="1E8ADA97" w14:textId="010600D3" w:rsidR="00655466" w:rsidRDefault="00655466" w:rsidP="00655466">
      <w:pPr>
        <w:jc w:val="both"/>
      </w:pPr>
      <w:r>
        <w:t>Também chama atenção o volume de avais e garantias concedidos, estimado em R$ 7,4 bilhões. Desse total, R$ 6,6 bilhões referem-se à eventual garantia ao BRB, autorizada pela Lei nº 7.845/2026, para recomposição, reforço ou ampliação das condições econômico-financeiras da instituição.</w:t>
      </w:r>
    </w:p>
    <w:p w14:paraId="7EB3D834" w14:textId="5E51E384" w:rsidR="00655466" w:rsidRDefault="00655466" w:rsidP="00655466">
      <w:pPr>
        <w:jc w:val="both"/>
      </w:pPr>
      <w:r>
        <w:t>Os passivos contingentes judiciais também são expressivos. As demandas judiciais somam aproximadamente R$ 2,6 bilhões, com destaque para ações envolvendo pessoal estatutário, saúde pública, IPREV, Metrô, Novacap, Codhab, Emater e TCB. Há ainda riscos de frustração de arrecadação, discrepância de projeções e exposição cambial em operações de crédito.</w:t>
      </w:r>
    </w:p>
    <w:tbl>
      <w:tblPr>
        <w:tblW w:w="5000" w:type="pct"/>
        <w:tblLook w:val="04A0" w:firstRow="1" w:lastRow="0" w:firstColumn="1" w:lastColumn="0" w:noHBand="0" w:noVBand="1"/>
      </w:tblPr>
      <w:tblGrid>
        <w:gridCol w:w="7003"/>
        <w:gridCol w:w="3185"/>
      </w:tblGrid>
      <w:tr w:rsidR="00655466" w14:paraId="7BB9AEE3" w14:textId="77777777" w:rsidTr="005073B8">
        <w:tc>
          <w:tcPr>
            <w:tcW w:w="3437" w:type="pct"/>
            <w:tcBorders>
              <w:top w:val="single" w:sz="4" w:space="0" w:color="2E7D32"/>
              <w:left w:val="single" w:sz="4" w:space="0" w:color="2E7D32"/>
              <w:bottom w:val="single" w:sz="4" w:space="0" w:color="2E7D32"/>
              <w:right w:val="single" w:sz="4" w:space="0" w:color="2E7D32"/>
            </w:tcBorders>
            <w:shd w:val="clear" w:color="auto" w:fill="2E7D32"/>
            <w:vAlign w:val="center"/>
          </w:tcPr>
          <w:p w14:paraId="6F90A733" w14:textId="4F8F239F" w:rsidR="00655466" w:rsidRDefault="00655466" w:rsidP="005073B8">
            <w:pPr>
              <w:spacing w:after="0" w:line="240" w:lineRule="auto"/>
              <w:jc w:val="center"/>
            </w:pPr>
            <w:r>
              <w:rPr>
                <w:b/>
                <w:color w:val="FFFFFF"/>
                <w:sz w:val="20"/>
              </w:rPr>
              <w:t>Risco fiscal</w:t>
            </w:r>
          </w:p>
        </w:tc>
        <w:tc>
          <w:tcPr>
            <w:tcW w:w="1563" w:type="pct"/>
            <w:tcBorders>
              <w:top w:val="single" w:sz="4" w:space="0" w:color="2E7D32"/>
              <w:left w:val="single" w:sz="4" w:space="0" w:color="2E7D32"/>
              <w:bottom w:val="single" w:sz="4" w:space="0" w:color="2E7D32"/>
              <w:right w:val="single" w:sz="4" w:space="0" w:color="2E7D32"/>
            </w:tcBorders>
            <w:shd w:val="clear" w:color="auto" w:fill="2E7D32"/>
            <w:vAlign w:val="center"/>
          </w:tcPr>
          <w:p w14:paraId="1B6B3AC1" w14:textId="67D3CF0C" w:rsidR="00655466" w:rsidRDefault="00655466" w:rsidP="005073B8">
            <w:pPr>
              <w:spacing w:after="0" w:line="240" w:lineRule="auto"/>
              <w:jc w:val="center"/>
            </w:pPr>
            <w:r>
              <w:rPr>
                <w:b/>
                <w:color w:val="FFFFFF"/>
                <w:sz w:val="20"/>
              </w:rPr>
              <w:t>Valor estimado</w:t>
            </w:r>
          </w:p>
        </w:tc>
      </w:tr>
      <w:tr w:rsidR="00655466" w14:paraId="504B23FE" w14:textId="77777777" w:rsidTr="005073B8">
        <w:tc>
          <w:tcPr>
            <w:tcW w:w="3437" w:type="pct"/>
            <w:tcBorders>
              <w:top w:val="single" w:sz="4" w:space="0" w:color="CCCCCC"/>
              <w:left w:val="single" w:sz="4" w:space="0" w:color="CCCCCC"/>
              <w:bottom w:val="single" w:sz="4" w:space="0" w:color="CCCCCC"/>
              <w:right w:val="single" w:sz="4" w:space="0" w:color="CCCCCC"/>
            </w:tcBorders>
            <w:vAlign w:val="center"/>
          </w:tcPr>
          <w:p w14:paraId="1D77442F" w14:textId="6ECA071C" w:rsidR="00655466" w:rsidRDefault="00655466" w:rsidP="005073B8">
            <w:pPr>
              <w:spacing w:after="0" w:line="240" w:lineRule="auto"/>
            </w:pPr>
            <w:r>
              <w:t>Demandas judiciais</w:t>
            </w:r>
          </w:p>
        </w:tc>
        <w:tc>
          <w:tcPr>
            <w:tcW w:w="1563" w:type="pct"/>
            <w:tcBorders>
              <w:top w:val="single" w:sz="4" w:space="0" w:color="CCCCCC"/>
              <w:left w:val="single" w:sz="4" w:space="0" w:color="CCCCCC"/>
              <w:bottom w:val="single" w:sz="4" w:space="0" w:color="CCCCCC"/>
              <w:right w:val="single" w:sz="4" w:space="0" w:color="CCCCCC"/>
            </w:tcBorders>
            <w:vAlign w:val="center"/>
          </w:tcPr>
          <w:p w14:paraId="037F9386" w14:textId="3231DC72" w:rsidR="00655466" w:rsidRDefault="00655466" w:rsidP="00655466">
            <w:pPr>
              <w:spacing w:after="0" w:line="240" w:lineRule="auto"/>
              <w:jc w:val="right"/>
            </w:pPr>
            <w:r>
              <w:t>R$ 2,6 bilhões</w:t>
            </w:r>
          </w:p>
        </w:tc>
      </w:tr>
      <w:tr w:rsidR="00655466" w14:paraId="7709B92B" w14:textId="77777777" w:rsidTr="005073B8">
        <w:tc>
          <w:tcPr>
            <w:tcW w:w="3437" w:type="pct"/>
            <w:tcBorders>
              <w:top w:val="single" w:sz="4" w:space="0" w:color="CCCCCC"/>
              <w:left w:val="single" w:sz="4" w:space="0" w:color="CCCCCC"/>
              <w:bottom w:val="single" w:sz="4" w:space="0" w:color="CCCCCC"/>
              <w:right w:val="single" w:sz="4" w:space="0" w:color="CCCCCC"/>
            </w:tcBorders>
            <w:vAlign w:val="center"/>
          </w:tcPr>
          <w:p w14:paraId="6DB09678" w14:textId="253F65E5" w:rsidR="00655466" w:rsidRDefault="00655466" w:rsidP="005073B8">
            <w:pPr>
              <w:spacing w:after="0" w:line="240" w:lineRule="auto"/>
            </w:pPr>
            <w:r>
              <w:t>Dívidas em processo de reconhecimento</w:t>
            </w:r>
          </w:p>
        </w:tc>
        <w:tc>
          <w:tcPr>
            <w:tcW w:w="1563" w:type="pct"/>
            <w:tcBorders>
              <w:top w:val="single" w:sz="4" w:space="0" w:color="CCCCCC"/>
              <w:left w:val="single" w:sz="4" w:space="0" w:color="CCCCCC"/>
              <w:bottom w:val="single" w:sz="4" w:space="0" w:color="CCCCCC"/>
              <w:right w:val="single" w:sz="4" w:space="0" w:color="CCCCCC"/>
            </w:tcBorders>
            <w:vAlign w:val="center"/>
          </w:tcPr>
          <w:p w14:paraId="2A897993" w14:textId="1757DCDC" w:rsidR="00655466" w:rsidRDefault="00655466" w:rsidP="00655466">
            <w:pPr>
              <w:spacing w:after="0" w:line="240" w:lineRule="auto"/>
              <w:jc w:val="right"/>
            </w:pPr>
            <w:r>
              <w:t xml:space="preserve">R$ </w:t>
            </w:r>
            <w:r>
              <w:t>72,3</w:t>
            </w:r>
            <w:r>
              <w:t xml:space="preserve"> </w:t>
            </w:r>
            <w:r>
              <w:t>m</w:t>
            </w:r>
            <w:r>
              <w:t>ilhões</w:t>
            </w:r>
          </w:p>
        </w:tc>
      </w:tr>
      <w:tr w:rsidR="00655466" w14:paraId="56350BE1" w14:textId="77777777" w:rsidTr="005073B8">
        <w:tc>
          <w:tcPr>
            <w:tcW w:w="3437" w:type="pct"/>
            <w:tcBorders>
              <w:top w:val="single" w:sz="4" w:space="0" w:color="CCCCCC"/>
              <w:left w:val="single" w:sz="4" w:space="0" w:color="CCCCCC"/>
              <w:bottom w:val="single" w:sz="4" w:space="0" w:color="CCCCCC"/>
              <w:right w:val="single" w:sz="4" w:space="0" w:color="CCCCCC"/>
            </w:tcBorders>
            <w:vAlign w:val="center"/>
          </w:tcPr>
          <w:p w14:paraId="4B118C60" w14:textId="4CAABDA2" w:rsidR="00655466" w:rsidRDefault="00655466" w:rsidP="005073B8">
            <w:pPr>
              <w:spacing w:after="0" w:line="240" w:lineRule="auto"/>
            </w:pPr>
            <w:r>
              <w:t>Avais e garantias concedidos, incluindo garantia ao BRB</w:t>
            </w:r>
          </w:p>
        </w:tc>
        <w:tc>
          <w:tcPr>
            <w:tcW w:w="1563" w:type="pct"/>
            <w:tcBorders>
              <w:top w:val="single" w:sz="4" w:space="0" w:color="CCCCCC"/>
              <w:left w:val="single" w:sz="4" w:space="0" w:color="CCCCCC"/>
              <w:bottom w:val="single" w:sz="4" w:space="0" w:color="CCCCCC"/>
              <w:right w:val="single" w:sz="4" w:space="0" w:color="CCCCCC"/>
            </w:tcBorders>
            <w:vAlign w:val="center"/>
          </w:tcPr>
          <w:p w14:paraId="7B430C1F" w14:textId="073385B2" w:rsidR="00655466" w:rsidRDefault="00655466" w:rsidP="00655466">
            <w:pPr>
              <w:spacing w:after="0" w:line="240" w:lineRule="auto"/>
              <w:jc w:val="right"/>
            </w:pPr>
            <w:r>
              <w:t xml:space="preserve">R$ </w:t>
            </w:r>
            <w:r>
              <w:t>7,4</w:t>
            </w:r>
            <w:r>
              <w:t xml:space="preserve"> bilhões</w:t>
            </w:r>
          </w:p>
        </w:tc>
      </w:tr>
      <w:tr w:rsidR="00655466" w14:paraId="5E6C9AE4" w14:textId="77777777" w:rsidTr="005073B8">
        <w:tc>
          <w:tcPr>
            <w:tcW w:w="3437" w:type="pct"/>
            <w:tcBorders>
              <w:top w:val="single" w:sz="4" w:space="0" w:color="CCCCCC"/>
              <w:left w:val="single" w:sz="4" w:space="0" w:color="CCCCCC"/>
              <w:bottom w:val="single" w:sz="4" w:space="0" w:color="CCCCCC"/>
              <w:right w:val="single" w:sz="4" w:space="0" w:color="CCCCCC"/>
            </w:tcBorders>
            <w:vAlign w:val="center"/>
          </w:tcPr>
          <w:p w14:paraId="4C159213" w14:textId="653C4114" w:rsidR="00655466" w:rsidRDefault="00655466" w:rsidP="005073B8">
            <w:pPr>
              <w:spacing w:after="0" w:line="240" w:lineRule="auto"/>
            </w:pPr>
            <w:r>
              <w:t>Frustração de arrecadação</w:t>
            </w:r>
          </w:p>
        </w:tc>
        <w:tc>
          <w:tcPr>
            <w:tcW w:w="1563" w:type="pct"/>
            <w:tcBorders>
              <w:top w:val="single" w:sz="4" w:space="0" w:color="CCCCCC"/>
              <w:left w:val="single" w:sz="4" w:space="0" w:color="CCCCCC"/>
              <w:bottom w:val="single" w:sz="4" w:space="0" w:color="CCCCCC"/>
              <w:right w:val="single" w:sz="4" w:space="0" w:color="CCCCCC"/>
            </w:tcBorders>
            <w:vAlign w:val="center"/>
          </w:tcPr>
          <w:p w14:paraId="7291CCD9" w14:textId="1BAA7D1E" w:rsidR="00655466" w:rsidRDefault="00655466" w:rsidP="00655466">
            <w:pPr>
              <w:spacing w:after="0" w:line="240" w:lineRule="auto"/>
              <w:jc w:val="right"/>
            </w:pPr>
            <w:r>
              <w:t xml:space="preserve">R$ </w:t>
            </w:r>
            <w:r>
              <w:t>1,8</w:t>
            </w:r>
            <w:r>
              <w:t xml:space="preserve"> bilhões</w:t>
            </w:r>
          </w:p>
        </w:tc>
      </w:tr>
      <w:tr w:rsidR="00655466" w14:paraId="125B220B" w14:textId="77777777" w:rsidTr="005073B8">
        <w:tc>
          <w:tcPr>
            <w:tcW w:w="3437" w:type="pct"/>
            <w:tcBorders>
              <w:top w:val="single" w:sz="4" w:space="0" w:color="CCCCCC"/>
              <w:left w:val="single" w:sz="4" w:space="0" w:color="CCCCCC"/>
              <w:bottom w:val="single" w:sz="4" w:space="0" w:color="CCCCCC"/>
              <w:right w:val="single" w:sz="4" w:space="0" w:color="CCCCCC"/>
            </w:tcBorders>
            <w:vAlign w:val="center"/>
          </w:tcPr>
          <w:p w14:paraId="077EF2A0" w14:textId="2FBD8024" w:rsidR="00655466" w:rsidRDefault="00655466" w:rsidP="005073B8">
            <w:pPr>
              <w:spacing w:after="0" w:line="240" w:lineRule="auto"/>
            </w:pPr>
            <w:r>
              <w:t>Discrepância de projeções</w:t>
            </w:r>
          </w:p>
        </w:tc>
        <w:tc>
          <w:tcPr>
            <w:tcW w:w="1563" w:type="pct"/>
            <w:tcBorders>
              <w:top w:val="single" w:sz="4" w:space="0" w:color="CCCCCC"/>
              <w:left w:val="single" w:sz="4" w:space="0" w:color="CCCCCC"/>
              <w:bottom w:val="single" w:sz="4" w:space="0" w:color="CCCCCC"/>
              <w:right w:val="single" w:sz="4" w:space="0" w:color="CCCCCC"/>
            </w:tcBorders>
            <w:vAlign w:val="center"/>
          </w:tcPr>
          <w:p w14:paraId="2C2E96C7" w14:textId="6DA95F9A" w:rsidR="00655466" w:rsidRDefault="00655466" w:rsidP="00655466">
            <w:pPr>
              <w:spacing w:after="0" w:line="240" w:lineRule="auto"/>
              <w:jc w:val="right"/>
            </w:pPr>
            <w:r>
              <w:t xml:space="preserve">R$ </w:t>
            </w:r>
            <w:r>
              <w:t>87,5</w:t>
            </w:r>
            <w:r>
              <w:t xml:space="preserve"> </w:t>
            </w:r>
            <w:r>
              <w:t>m</w:t>
            </w:r>
            <w:r>
              <w:t>ilhões</w:t>
            </w:r>
          </w:p>
        </w:tc>
      </w:tr>
      <w:tr w:rsidR="00655466" w14:paraId="58B3C85D" w14:textId="77777777" w:rsidTr="005073B8">
        <w:tc>
          <w:tcPr>
            <w:tcW w:w="3437" w:type="pct"/>
            <w:tcBorders>
              <w:top w:val="single" w:sz="4" w:space="0" w:color="CCCCCC"/>
              <w:left w:val="single" w:sz="4" w:space="0" w:color="CCCCCC"/>
              <w:bottom w:val="single" w:sz="4" w:space="0" w:color="CCCCCC"/>
              <w:right w:val="single" w:sz="4" w:space="0" w:color="CCCCCC"/>
            </w:tcBorders>
            <w:vAlign w:val="center"/>
          </w:tcPr>
          <w:p w14:paraId="4D35B9FD" w14:textId="1F376486" w:rsidR="00655466" w:rsidRDefault="00655466" w:rsidP="005073B8">
            <w:pPr>
              <w:spacing w:after="0" w:line="240" w:lineRule="auto"/>
            </w:pPr>
            <w:r>
              <w:t>Outros riscos fiscais, incluindo IRRF/FCDF e risco cambial</w:t>
            </w:r>
          </w:p>
        </w:tc>
        <w:tc>
          <w:tcPr>
            <w:tcW w:w="1563" w:type="pct"/>
            <w:tcBorders>
              <w:top w:val="single" w:sz="4" w:space="0" w:color="CCCCCC"/>
              <w:left w:val="single" w:sz="4" w:space="0" w:color="CCCCCC"/>
              <w:bottom w:val="single" w:sz="4" w:space="0" w:color="CCCCCC"/>
              <w:right w:val="single" w:sz="4" w:space="0" w:color="CCCCCC"/>
            </w:tcBorders>
            <w:vAlign w:val="center"/>
          </w:tcPr>
          <w:p w14:paraId="212D0F61" w14:textId="15C59953" w:rsidR="00655466" w:rsidRDefault="00655466" w:rsidP="00655466">
            <w:pPr>
              <w:spacing w:after="0" w:line="240" w:lineRule="auto"/>
              <w:jc w:val="right"/>
            </w:pPr>
            <w:r>
              <w:t>R$ 2</w:t>
            </w:r>
            <w:r>
              <w:t>3</w:t>
            </w:r>
            <w:r>
              <w:t>,6 bilhões</w:t>
            </w:r>
          </w:p>
        </w:tc>
      </w:tr>
      <w:tr w:rsidR="00655466" w14:paraId="17DEB4E3" w14:textId="77777777" w:rsidTr="005073B8">
        <w:tc>
          <w:tcPr>
            <w:tcW w:w="3437" w:type="pct"/>
            <w:tcBorders>
              <w:top w:val="single" w:sz="4" w:space="0" w:color="CCCCCC"/>
              <w:left w:val="single" w:sz="4" w:space="0" w:color="CCCCCC"/>
              <w:bottom w:val="single" w:sz="4" w:space="0" w:color="CCCCCC"/>
              <w:right w:val="single" w:sz="4" w:space="0" w:color="CCCCCC"/>
            </w:tcBorders>
            <w:vAlign w:val="center"/>
          </w:tcPr>
          <w:p w14:paraId="041A869C" w14:textId="15A0391F" w:rsidR="00655466" w:rsidRDefault="00655466" w:rsidP="005073B8">
            <w:pPr>
              <w:spacing w:after="0" w:line="240" w:lineRule="auto"/>
            </w:pPr>
            <w:r>
              <w:lastRenderedPageBreak/>
              <w:t>Total estimado</w:t>
            </w:r>
          </w:p>
        </w:tc>
        <w:tc>
          <w:tcPr>
            <w:tcW w:w="1563" w:type="pct"/>
            <w:tcBorders>
              <w:top w:val="single" w:sz="4" w:space="0" w:color="CCCCCC"/>
              <w:left w:val="single" w:sz="4" w:space="0" w:color="CCCCCC"/>
              <w:bottom w:val="single" w:sz="4" w:space="0" w:color="CCCCCC"/>
              <w:right w:val="single" w:sz="4" w:space="0" w:color="CCCCCC"/>
            </w:tcBorders>
            <w:vAlign w:val="center"/>
          </w:tcPr>
          <w:p w14:paraId="08AAB497" w14:textId="5D15F539" w:rsidR="00655466" w:rsidRDefault="00655466" w:rsidP="00655466">
            <w:pPr>
              <w:spacing w:after="0" w:line="240" w:lineRule="auto"/>
              <w:jc w:val="right"/>
            </w:pPr>
            <w:r>
              <w:t xml:space="preserve">R$ </w:t>
            </w:r>
            <w:r>
              <w:t>35</w:t>
            </w:r>
            <w:r>
              <w:t>,6 bilhões</w:t>
            </w:r>
          </w:p>
        </w:tc>
      </w:tr>
    </w:tbl>
    <w:p w14:paraId="2788338F" w14:textId="23EF978B" w:rsidR="00655466" w:rsidRPr="00655466" w:rsidRDefault="00655466" w:rsidP="00655466">
      <w:pPr>
        <w:jc w:val="both"/>
        <w:rPr>
          <w:i/>
          <w:color w:val="6B7280"/>
          <w:sz w:val="16"/>
          <w:szCs w:val="20"/>
        </w:rPr>
      </w:pPr>
      <w:r w:rsidRPr="00655466">
        <w:rPr>
          <w:i/>
          <w:color w:val="6B7280"/>
          <w:sz w:val="16"/>
          <w:szCs w:val="20"/>
        </w:rPr>
        <w:t xml:space="preserve">Fonte: </w:t>
      </w:r>
      <w:r>
        <w:rPr>
          <w:i/>
          <w:color w:val="6B7280"/>
          <w:sz w:val="16"/>
          <w:szCs w:val="20"/>
        </w:rPr>
        <w:t>Anexo de Riscos Fiscais do PLDO 2027.</w:t>
      </w:r>
    </w:p>
    <w:p w14:paraId="7E94EAC2" w14:textId="2AFC2E47" w:rsidR="00BB0B43" w:rsidRDefault="00000000" w:rsidP="007A2D89">
      <w:pPr>
        <w:pStyle w:val="Ttulo1"/>
        <w:spacing w:after="240"/>
        <w:jc w:val="both"/>
      </w:pPr>
      <w:r>
        <w:rPr>
          <w:color w:val="2E7D32"/>
          <w:sz w:val="32"/>
        </w:rPr>
        <w:t>Agenda de Recuperação Fiscal</w:t>
      </w:r>
    </w:p>
    <w:p w14:paraId="64774ADD" w14:textId="0BCE3294" w:rsidR="007A2D89" w:rsidRDefault="007A2D89" w:rsidP="007A2D89">
      <w:pPr>
        <w:spacing w:after="240"/>
        <w:jc w:val="both"/>
      </w:pPr>
      <w:r w:rsidRPr="007A2D89">
        <w:t>O diagnóstico aponta que o desafio fiscal do DF não será resolvido por uma única medida. Será necessário combinar controle do gasto corrente, revisão de benefícios tributários, gestão mais rigorosa de pessoal, recomposição do caixa, fortalecimento da governança fiscal e retomada responsável do investimento público. A agenda a seguir organiza essas medidas em quatro eixos.</w:t>
      </w:r>
    </w:p>
    <w:p w14:paraId="45B90E4D" w14:textId="0EE4394F" w:rsidR="00D964D2" w:rsidRPr="00E34799" w:rsidRDefault="00D964D2" w:rsidP="00D964D2">
      <w:pPr>
        <w:spacing w:after="160" w:line="360" w:lineRule="auto"/>
        <w:rPr>
          <w:b/>
          <w:bCs/>
          <w:color w:val="2E7D32"/>
        </w:rPr>
      </w:pPr>
      <w:r w:rsidRPr="00E34799">
        <w:rPr>
          <w:b/>
          <w:bCs/>
          <w:color w:val="2E7D32"/>
        </w:rPr>
        <w:t>Eixo 1 — Qualidade do gasto e revisão de despesas</w:t>
      </w:r>
    </w:p>
    <w:p w14:paraId="676674A4" w14:textId="77777777" w:rsidR="00D964D2" w:rsidRPr="00114E35" w:rsidRDefault="00D964D2" w:rsidP="004A437D">
      <w:pPr>
        <w:spacing w:after="160" w:line="360" w:lineRule="auto"/>
        <w:jc w:val="both"/>
      </w:pPr>
      <w:r w:rsidRPr="00114E35">
        <w:rPr>
          <w:b/>
          <w:bCs/>
        </w:rPr>
        <w:t>Objetivo:</w:t>
      </w:r>
      <w:r w:rsidRPr="00114E35">
        <w:t xml:space="preserve"> reduzir despesas de baixa prioridade, aumentar a eficiência do gasto público e abrir espaço fiscal permanente para investimentos e serviços essenciais.</w:t>
      </w:r>
    </w:p>
    <w:p w14:paraId="60959B28" w14:textId="77777777" w:rsidR="00D964D2" w:rsidRPr="00114E35" w:rsidRDefault="00D964D2" w:rsidP="004A437D">
      <w:pPr>
        <w:spacing w:after="160" w:line="360" w:lineRule="auto"/>
        <w:jc w:val="both"/>
      </w:pPr>
      <w:r w:rsidRPr="00114E35">
        <w:rPr>
          <w:b/>
          <w:bCs/>
        </w:rPr>
        <w:t>Propostas:</w:t>
      </w:r>
    </w:p>
    <w:p w14:paraId="666E36BB" w14:textId="65B5962B" w:rsidR="00D964D2" w:rsidRPr="004A437D" w:rsidRDefault="00D964D2" w:rsidP="004A437D">
      <w:pPr>
        <w:numPr>
          <w:ilvl w:val="0"/>
          <w:numId w:val="21"/>
        </w:numPr>
        <w:spacing w:after="160" w:line="360" w:lineRule="auto"/>
        <w:jc w:val="both"/>
      </w:pPr>
      <w:r w:rsidRPr="00114E35">
        <w:rPr>
          <w:b/>
          <w:bCs/>
        </w:rPr>
        <w:t xml:space="preserve">Cortar, no início do governo, </w:t>
      </w:r>
      <w:r w:rsidR="004A437D" w:rsidRPr="004A437D">
        <w:rPr>
          <w:b/>
          <w:bCs/>
        </w:rPr>
        <w:t>em pelo menos 30% o estoque de dívidas com contratos administrativos</w:t>
      </w:r>
      <w:r w:rsidR="004A437D" w:rsidRPr="004A437D">
        <w:t>, com parcelamento do saldo remanescente em até seis parcelas. Casos com risco comprovado à continuidade de serviços públicos essenciais deverão ser reavaliados posteriormente</w:t>
      </w:r>
      <w:r w:rsidRPr="004A437D">
        <w:t>.</w:t>
      </w:r>
    </w:p>
    <w:p w14:paraId="2D367EAC" w14:textId="721EE0B7" w:rsidR="00D964D2" w:rsidRPr="00114E35" w:rsidRDefault="00D964D2" w:rsidP="004A437D">
      <w:pPr>
        <w:numPr>
          <w:ilvl w:val="0"/>
          <w:numId w:val="21"/>
        </w:numPr>
        <w:spacing w:after="160" w:line="360" w:lineRule="auto"/>
        <w:jc w:val="both"/>
      </w:pPr>
      <w:r w:rsidRPr="00114E35">
        <w:rPr>
          <w:b/>
          <w:bCs/>
        </w:rPr>
        <w:t>Revisar, nos primeiros 180 dias, os contratos que concentrem ao menos 80% da despesa contratual do GDF</w:t>
      </w:r>
      <w:r w:rsidRPr="00114E35">
        <w:t xml:space="preserve">, com foco em aluguéis, terceirização, </w:t>
      </w:r>
      <w:r w:rsidR="00C35D4C">
        <w:t xml:space="preserve">publicidade e propaganda, </w:t>
      </w:r>
      <w:r w:rsidRPr="00114E35">
        <w:t>manutenção, tecnologia, vigilância, limpeza e serviços continuados.</w:t>
      </w:r>
    </w:p>
    <w:p w14:paraId="1EA6650D" w14:textId="7B6093C5" w:rsidR="00D964D2" w:rsidRPr="00114E35" w:rsidRDefault="00C35D4C" w:rsidP="004A437D">
      <w:pPr>
        <w:numPr>
          <w:ilvl w:val="0"/>
          <w:numId w:val="21"/>
        </w:numPr>
        <w:spacing w:after="160" w:line="360" w:lineRule="auto"/>
        <w:jc w:val="both"/>
      </w:pPr>
      <w:r>
        <w:rPr>
          <w:b/>
          <w:bCs/>
        </w:rPr>
        <w:t>Revisar</w:t>
      </w:r>
      <w:r w:rsidR="00D964D2" w:rsidRPr="00114E35">
        <w:rPr>
          <w:b/>
          <w:bCs/>
        </w:rPr>
        <w:t xml:space="preserve"> gasto</w:t>
      </w:r>
      <w:r>
        <w:rPr>
          <w:b/>
          <w:bCs/>
        </w:rPr>
        <w:t>s</w:t>
      </w:r>
      <w:r w:rsidR="00D964D2" w:rsidRPr="00114E35">
        <w:rPr>
          <w:b/>
          <w:bCs/>
        </w:rPr>
        <w:t xml:space="preserve"> com aluguéis </w:t>
      </w:r>
      <w:r>
        <w:rPr>
          <w:b/>
          <w:bCs/>
        </w:rPr>
        <w:t xml:space="preserve">de imóveis, veículos, combustíveis e serviços de transporte para servidores, </w:t>
      </w:r>
      <w:r w:rsidR="00D964D2" w:rsidRPr="00114E35">
        <w:t>por meio de renegociação, devolução de imóveis subutilizados, compartilhamento de espaços e uso de imóveis próprios.</w:t>
      </w:r>
    </w:p>
    <w:p w14:paraId="707F7205" w14:textId="31BB9D11" w:rsidR="00D964D2" w:rsidRPr="00114E35" w:rsidRDefault="004A437D" w:rsidP="004A437D">
      <w:pPr>
        <w:numPr>
          <w:ilvl w:val="0"/>
          <w:numId w:val="21"/>
        </w:numPr>
        <w:spacing w:after="160" w:line="360" w:lineRule="auto"/>
        <w:jc w:val="both"/>
      </w:pPr>
      <w:r>
        <w:rPr>
          <w:b/>
          <w:bCs/>
        </w:rPr>
        <w:t>Instituir</w:t>
      </w:r>
      <w:r w:rsidR="00D964D2" w:rsidRPr="00114E35">
        <w:rPr>
          <w:b/>
          <w:bCs/>
        </w:rPr>
        <w:t xml:space="preserve"> p</w:t>
      </w:r>
      <w:r w:rsidR="00D964D2">
        <w:rPr>
          <w:b/>
          <w:bCs/>
        </w:rPr>
        <w:t xml:space="preserve">olítica </w:t>
      </w:r>
      <w:r w:rsidR="00D964D2" w:rsidRPr="00114E35">
        <w:rPr>
          <w:b/>
          <w:bCs/>
        </w:rPr>
        <w:t>permanente de revisão de gastos</w:t>
      </w:r>
      <w:r w:rsidR="00D964D2" w:rsidRPr="00114E35">
        <w:t xml:space="preserve">, </w:t>
      </w:r>
      <w:r>
        <w:t xml:space="preserve">a partir da experiência internacional e de outros entes, </w:t>
      </w:r>
      <w:r w:rsidR="00D964D2" w:rsidRPr="00114E35">
        <w:t>com</w:t>
      </w:r>
      <w:r>
        <w:t xml:space="preserve"> previsão de</w:t>
      </w:r>
      <w:r w:rsidR="00D964D2" w:rsidRPr="00114E35">
        <w:t xml:space="preserve"> avaliação anual de despesas, contratos e programas equivalentes a pelo </w:t>
      </w:r>
      <w:r w:rsidR="00D964D2" w:rsidRPr="004A437D">
        <w:t>menos 25% da despesa primária</w:t>
      </w:r>
      <w:r w:rsidR="00D964D2" w:rsidRPr="00114E35">
        <w:t>.</w:t>
      </w:r>
    </w:p>
    <w:p w14:paraId="644622E6" w14:textId="34FBA7F1" w:rsidR="00D964D2" w:rsidRPr="00114E35" w:rsidRDefault="00D964D2" w:rsidP="004A437D">
      <w:pPr>
        <w:numPr>
          <w:ilvl w:val="0"/>
          <w:numId w:val="21"/>
        </w:numPr>
        <w:spacing w:after="160" w:line="360" w:lineRule="auto"/>
        <w:jc w:val="both"/>
      </w:pPr>
      <w:r w:rsidRPr="00114E35">
        <w:rPr>
          <w:b/>
          <w:bCs/>
        </w:rPr>
        <w:t>Avaliar a efetividade dos principais programas públicos do GDF</w:t>
      </w:r>
      <w:r w:rsidRPr="00114E35">
        <w:t xml:space="preserve">, </w:t>
      </w:r>
      <w:r w:rsidR="00FE5D1A" w:rsidRPr="00FE5D1A">
        <w:t>com a meta de analisar, a cada ano, ao menos dez programas ou políticas relevantes. A avaliação deverá indicar a manutenção, o redesenho, a ampliação ou o encerramento de cada iniciativa</w:t>
      </w:r>
      <w:r w:rsidRPr="00114E35">
        <w:t>.</w:t>
      </w:r>
    </w:p>
    <w:p w14:paraId="71B5BFC6" w14:textId="18AFA644" w:rsidR="00D964D2" w:rsidRPr="00114E35" w:rsidRDefault="00D964D2" w:rsidP="004A437D">
      <w:pPr>
        <w:numPr>
          <w:ilvl w:val="0"/>
          <w:numId w:val="21"/>
        </w:numPr>
        <w:spacing w:after="160" w:line="360" w:lineRule="auto"/>
        <w:jc w:val="both"/>
      </w:pPr>
      <w:r w:rsidRPr="00114E35">
        <w:rPr>
          <w:b/>
          <w:bCs/>
        </w:rPr>
        <w:t>Redesenhar programas sociais com baixa cobertura, baixa focalização ou sobreposição</w:t>
      </w:r>
      <w:r w:rsidRPr="00114E35">
        <w:t xml:space="preserve">, </w:t>
      </w:r>
      <w:r w:rsidR="00FE5D1A" w:rsidRPr="00FE5D1A">
        <w:t>com o objetivo de ampliar o atendimento efetivo aos públicos prioritários, sem crescimento automático da despesa.</w:t>
      </w:r>
    </w:p>
    <w:p w14:paraId="648AF02F" w14:textId="113C6E14" w:rsidR="00D964D2" w:rsidRDefault="00D964D2" w:rsidP="004A437D">
      <w:pPr>
        <w:numPr>
          <w:ilvl w:val="0"/>
          <w:numId w:val="21"/>
        </w:numPr>
        <w:spacing w:after="160" w:line="360" w:lineRule="auto"/>
        <w:jc w:val="both"/>
      </w:pPr>
      <w:r w:rsidRPr="00114E35">
        <w:rPr>
          <w:b/>
          <w:bCs/>
        </w:rPr>
        <w:lastRenderedPageBreak/>
        <w:t xml:space="preserve">Instituir </w:t>
      </w:r>
      <w:r w:rsidR="00FE5D1A">
        <w:rPr>
          <w:b/>
          <w:bCs/>
        </w:rPr>
        <w:t>gestão</w:t>
      </w:r>
      <w:r w:rsidRPr="00114E35">
        <w:rPr>
          <w:b/>
          <w:bCs/>
        </w:rPr>
        <w:t xml:space="preserve"> plurianual </w:t>
      </w:r>
      <w:r w:rsidR="00FE5D1A">
        <w:rPr>
          <w:b/>
          <w:bCs/>
        </w:rPr>
        <w:t xml:space="preserve">de </w:t>
      </w:r>
      <w:r w:rsidRPr="00114E35">
        <w:rPr>
          <w:b/>
          <w:bCs/>
        </w:rPr>
        <w:t>precatórios e passivos judiciais</w:t>
      </w:r>
      <w:r w:rsidRPr="00114E35">
        <w:t>, com metas anuais de pagamento, negociação, prevenção de novos passivos e redução do estoque.</w:t>
      </w:r>
    </w:p>
    <w:p w14:paraId="450194D6" w14:textId="2B5CEC36" w:rsidR="00490258" w:rsidRPr="00114E35" w:rsidRDefault="00490258" w:rsidP="004A437D">
      <w:pPr>
        <w:numPr>
          <w:ilvl w:val="0"/>
          <w:numId w:val="21"/>
        </w:numPr>
        <w:spacing w:after="160" w:line="360" w:lineRule="auto"/>
        <w:jc w:val="both"/>
      </w:pPr>
      <w:commentRangeStart w:id="0"/>
      <w:r w:rsidRPr="00490258">
        <w:rPr>
          <w:b/>
          <w:bCs/>
        </w:rPr>
        <w:t>Aumentar a eficiência e o controle do GDF Saúde</w:t>
      </w:r>
      <w:r w:rsidRPr="00490258">
        <w:t>, condicionando repasses orçamentários adicionais ao INAS à realização de auditoria médica externa, ao controle rigoroso da sinistralidade assistencial e à adoção de medidas de equilíbrio financeiro do plano.</w:t>
      </w:r>
      <w:commentRangeEnd w:id="0"/>
      <w:r w:rsidR="004B3259" w:rsidRPr="00114E35">
        <w:rPr>
          <w:rStyle w:val="Refdecomentrio"/>
          <w:sz w:val="22"/>
          <w:szCs w:val="22"/>
        </w:rPr>
        <w:commentReference w:id="0"/>
      </w:r>
    </w:p>
    <w:p w14:paraId="7DFA7377" w14:textId="77777777" w:rsidR="00D964D2" w:rsidRPr="00E34799" w:rsidRDefault="00D964D2" w:rsidP="004A437D">
      <w:pPr>
        <w:spacing w:after="160" w:line="360" w:lineRule="auto"/>
        <w:jc w:val="both"/>
        <w:rPr>
          <w:b/>
          <w:bCs/>
          <w:color w:val="2E7D32"/>
        </w:rPr>
      </w:pPr>
      <w:r w:rsidRPr="00E34799">
        <w:rPr>
          <w:b/>
          <w:bCs/>
          <w:color w:val="2E7D32"/>
        </w:rPr>
        <w:t>Eixo 2 — Receita, benefícios tributários e justiça fiscal</w:t>
      </w:r>
    </w:p>
    <w:p w14:paraId="0C2C874E" w14:textId="6DF9186B" w:rsidR="00D964D2" w:rsidRPr="00114E35" w:rsidRDefault="00D964D2" w:rsidP="004A437D">
      <w:pPr>
        <w:spacing w:after="160" w:line="360" w:lineRule="auto"/>
        <w:jc w:val="both"/>
      </w:pPr>
      <w:r w:rsidRPr="00114E35">
        <w:rPr>
          <w:b/>
          <w:bCs/>
        </w:rPr>
        <w:t>Objetivo:</w:t>
      </w:r>
      <w:r w:rsidRPr="00114E35">
        <w:t xml:space="preserve"> recuperar receita própria, reduzir renúncias fiscais ineficientes e manter apenas benefícios tributários com retorno econômico, social </w:t>
      </w:r>
      <w:r w:rsidR="00D00C2C">
        <w:t>e</w:t>
      </w:r>
      <w:r w:rsidRPr="00114E35">
        <w:t xml:space="preserve"> fiscal comprovado.</w:t>
      </w:r>
    </w:p>
    <w:p w14:paraId="234F848B" w14:textId="77777777" w:rsidR="00D964D2" w:rsidRPr="00114E35" w:rsidRDefault="00D964D2" w:rsidP="004A437D">
      <w:pPr>
        <w:spacing w:after="160" w:line="360" w:lineRule="auto"/>
        <w:jc w:val="both"/>
      </w:pPr>
      <w:r w:rsidRPr="00114E35">
        <w:rPr>
          <w:b/>
          <w:bCs/>
        </w:rPr>
        <w:t>Propostas:</w:t>
      </w:r>
    </w:p>
    <w:p w14:paraId="3C9C8DBB" w14:textId="3B8D3194" w:rsidR="00D964D2" w:rsidRPr="008B23B9" w:rsidRDefault="008B23B9" w:rsidP="004A437D">
      <w:pPr>
        <w:numPr>
          <w:ilvl w:val="0"/>
          <w:numId w:val="22"/>
        </w:numPr>
        <w:spacing w:after="160" w:line="360" w:lineRule="auto"/>
        <w:jc w:val="both"/>
      </w:pPr>
      <w:r w:rsidRPr="008B23B9">
        <w:rPr>
          <w:b/>
          <w:bCs/>
        </w:rPr>
        <w:t>Reduzir em</w:t>
      </w:r>
      <w:r w:rsidRPr="008B23B9">
        <w:rPr>
          <w:b/>
          <w:bCs/>
        </w:rPr>
        <w:t xml:space="preserve"> pelo menos</w:t>
      </w:r>
      <w:r w:rsidRPr="008B23B9">
        <w:rPr>
          <w:b/>
          <w:bCs/>
        </w:rPr>
        <w:t xml:space="preserve"> 50%, no início do governo, os benefícios tributários vigentes</w:t>
      </w:r>
      <w:r w:rsidRPr="008B23B9">
        <w:t>, mediante envio de projeto de lei à CLDF. Devem ser preservados apenas os casos com impedimento legal</w:t>
      </w:r>
      <w:r>
        <w:t xml:space="preserve"> ou constitucional</w:t>
      </w:r>
      <w:r w:rsidRPr="008B23B9">
        <w:t xml:space="preserve"> específico ou risco econômico relevante</w:t>
      </w:r>
      <w:r w:rsidR="00D964D2" w:rsidRPr="008B23B9">
        <w:t>.</w:t>
      </w:r>
    </w:p>
    <w:p w14:paraId="3197CF2C" w14:textId="77777777" w:rsidR="00D00C2C" w:rsidRPr="00114E35" w:rsidRDefault="00D00C2C" w:rsidP="004A437D">
      <w:pPr>
        <w:numPr>
          <w:ilvl w:val="0"/>
          <w:numId w:val="22"/>
        </w:numPr>
        <w:spacing w:after="160" w:line="360" w:lineRule="auto"/>
        <w:jc w:val="both"/>
      </w:pPr>
      <w:r w:rsidRPr="00114E35">
        <w:rPr>
          <w:b/>
          <w:bCs/>
        </w:rPr>
        <w:t xml:space="preserve">Exigir, em até </w:t>
      </w:r>
      <w:r>
        <w:rPr>
          <w:b/>
          <w:bCs/>
        </w:rPr>
        <w:t>3</w:t>
      </w:r>
      <w:r w:rsidRPr="00114E35">
        <w:rPr>
          <w:b/>
          <w:bCs/>
        </w:rPr>
        <w:t>0 dias, comprovação do cumprimento das contrapartidas</w:t>
      </w:r>
      <w:r w:rsidRPr="00114E35">
        <w:t xml:space="preserve"> pelos beneficiários de incentivos fiscais.</w:t>
      </w:r>
    </w:p>
    <w:p w14:paraId="5CF6127A" w14:textId="06E95FCC" w:rsidR="00D964D2" w:rsidRPr="00114E35" w:rsidRDefault="00D964D2" w:rsidP="004A437D">
      <w:pPr>
        <w:numPr>
          <w:ilvl w:val="0"/>
          <w:numId w:val="22"/>
        </w:numPr>
        <w:spacing w:after="160" w:line="360" w:lineRule="auto"/>
        <w:jc w:val="both"/>
      </w:pPr>
      <w:r w:rsidRPr="00114E35">
        <w:rPr>
          <w:b/>
          <w:bCs/>
        </w:rPr>
        <w:t>Auditar, no primeiro ano, 100% dos benefícios fiscais vigentes</w:t>
      </w:r>
      <w:r w:rsidRPr="00114E35">
        <w:t xml:space="preserve">, com identificação de custo fiscal, beneficiários, base legal, prazo de vigência, contrapartidas </w:t>
      </w:r>
      <w:r w:rsidR="008B23B9">
        <w:t xml:space="preserve">exigidas </w:t>
      </w:r>
      <w:r w:rsidRPr="00114E35">
        <w:t>e resultados</w:t>
      </w:r>
      <w:r w:rsidR="008B23B9">
        <w:t xml:space="preserve"> alcançados</w:t>
      </w:r>
      <w:r w:rsidRPr="00114E35">
        <w:t>.</w:t>
      </w:r>
    </w:p>
    <w:p w14:paraId="087E1670" w14:textId="77777777" w:rsidR="00D964D2" w:rsidRPr="00114E35" w:rsidRDefault="00D964D2" w:rsidP="004A437D">
      <w:pPr>
        <w:numPr>
          <w:ilvl w:val="0"/>
          <w:numId w:val="22"/>
        </w:numPr>
        <w:spacing w:after="160" w:line="360" w:lineRule="auto"/>
        <w:jc w:val="both"/>
      </w:pPr>
      <w:r w:rsidRPr="00114E35">
        <w:rPr>
          <w:b/>
          <w:bCs/>
        </w:rPr>
        <w:t xml:space="preserve">Vedar a concessão ou ampliação de benefícios fiscais </w:t>
      </w:r>
      <w:r w:rsidRPr="008B23B9">
        <w:t>sem estimativa de impacto, prazo determinado, metas verificáveis e mecanismo de avaliação periódica.</w:t>
      </w:r>
    </w:p>
    <w:p w14:paraId="682F8759" w14:textId="54CE0C22" w:rsidR="00D964D2" w:rsidRPr="00114E35" w:rsidRDefault="008B23B9" w:rsidP="004A437D">
      <w:pPr>
        <w:numPr>
          <w:ilvl w:val="0"/>
          <w:numId w:val="22"/>
        </w:numPr>
        <w:spacing w:after="160" w:line="360" w:lineRule="auto"/>
        <w:jc w:val="both"/>
      </w:pPr>
      <w:r>
        <w:rPr>
          <w:b/>
          <w:bCs/>
        </w:rPr>
        <w:t>Instituir</w:t>
      </w:r>
      <w:r w:rsidR="00D964D2" w:rsidRPr="00114E35">
        <w:rPr>
          <w:b/>
          <w:bCs/>
        </w:rPr>
        <w:t xml:space="preserve"> política permanente de governança dos benefícios tributários</w:t>
      </w:r>
      <w:r w:rsidR="00D964D2" w:rsidRPr="00114E35">
        <w:t>, com regras para concessão, renovação, monitoramento, transparência e avaliação de resultados.</w:t>
      </w:r>
    </w:p>
    <w:p w14:paraId="0268582C" w14:textId="77777777" w:rsidR="00D964D2" w:rsidRPr="00114E35" w:rsidRDefault="00D964D2" w:rsidP="004A437D">
      <w:pPr>
        <w:numPr>
          <w:ilvl w:val="0"/>
          <w:numId w:val="22"/>
        </w:numPr>
        <w:spacing w:after="160" w:line="360" w:lineRule="auto"/>
        <w:jc w:val="both"/>
      </w:pPr>
      <w:r w:rsidRPr="00114E35">
        <w:rPr>
          <w:b/>
          <w:bCs/>
        </w:rPr>
        <w:t>Atualizar o cadastro imobiliário e revisar a base de cálculo do IPTU</w:t>
      </w:r>
      <w:r w:rsidRPr="00114E35">
        <w:t xml:space="preserve">, com meta de concluir o recadastramento dos imóveis em </w:t>
      </w:r>
      <w:r w:rsidRPr="008B23B9">
        <w:t>até 24 meses, transição</w:t>
      </w:r>
      <w:r w:rsidRPr="00114E35">
        <w:t xml:space="preserve"> gradual e proteção a famílias de baixa renda.</w:t>
      </w:r>
    </w:p>
    <w:p w14:paraId="780B469B" w14:textId="77777777" w:rsidR="00D964D2" w:rsidRDefault="00D964D2" w:rsidP="004A437D">
      <w:pPr>
        <w:numPr>
          <w:ilvl w:val="0"/>
          <w:numId w:val="22"/>
        </w:numPr>
        <w:spacing w:after="160" w:line="360" w:lineRule="auto"/>
        <w:jc w:val="both"/>
      </w:pPr>
      <w:r w:rsidRPr="00114E35">
        <w:rPr>
          <w:b/>
          <w:bCs/>
        </w:rPr>
        <w:t>Ampliar o uso de inteligência fiscal e cruzamento de bases de dados</w:t>
      </w:r>
      <w:r w:rsidRPr="00114E35">
        <w:t>, com meta de aumentar a arrecadação própria sem elevação geral de alíquotas.</w:t>
      </w:r>
    </w:p>
    <w:p w14:paraId="7858E9F6" w14:textId="2BB062BF" w:rsidR="00E068C4" w:rsidRDefault="008B23B9" w:rsidP="004A437D">
      <w:pPr>
        <w:numPr>
          <w:ilvl w:val="0"/>
          <w:numId w:val="22"/>
        </w:numPr>
        <w:spacing w:after="160" w:line="360" w:lineRule="auto"/>
        <w:jc w:val="both"/>
      </w:pPr>
      <w:r w:rsidRPr="008B23B9">
        <w:rPr>
          <w:b/>
          <w:bCs/>
        </w:rPr>
        <w:t xml:space="preserve">Diversificar a matriz econômica do DF, </w:t>
      </w:r>
      <w:r w:rsidRPr="008B23B9">
        <w:t>gerando novas fontes de receita e reduzindo a dependência dos recursos do FCDF</w:t>
      </w:r>
      <w:r w:rsidRPr="008B23B9">
        <w:t>.</w:t>
      </w:r>
    </w:p>
    <w:p w14:paraId="1D4BA134" w14:textId="2B5097D2" w:rsidR="00E068C4" w:rsidRPr="008B23B9" w:rsidRDefault="008B23B9" w:rsidP="008B23B9">
      <w:pPr>
        <w:numPr>
          <w:ilvl w:val="0"/>
          <w:numId w:val="22"/>
        </w:numPr>
        <w:spacing w:after="160" w:line="360" w:lineRule="auto"/>
        <w:jc w:val="both"/>
      </w:pPr>
      <w:r w:rsidRPr="008B23B9">
        <w:rPr>
          <w:b/>
          <w:bCs/>
        </w:rPr>
        <w:t>Implantar polos de desenvolvimento econômico nas regiões administrativas</w:t>
      </w:r>
      <w:r w:rsidRPr="008B23B9">
        <w:t xml:space="preserve"> e buscar, junto ao governo federal e ao setor privado, a criação de uma Zona de Processamento de Exportação no DF, ancorada em projetos empresariais de alto potencial exportador. A prioridade será atrair </w:t>
      </w:r>
      <w:r w:rsidRPr="008B23B9">
        <w:lastRenderedPageBreak/>
        <w:t>investimentos em tecnologia, serviços digitais, infraestrutura de dados, biotecnologia e bens e serviços ligados à saúde, com metas de geração de emprego local, qualificação profissional e adensamento produtivo.</w:t>
      </w:r>
      <w:r w:rsidR="00E068C4" w:rsidRPr="008B23B9">
        <w:t xml:space="preserve"> </w:t>
      </w:r>
    </w:p>
    <w:p w14:paraId="22121903" w14:textId="77777777" w:rsidR="00D964D2" w:rsidRPr="00E34799" w:rsidRDefault="00D964D2" w:rsidP="004A437D">
      <w:pPr>
        <w:spacing w:after="160" w:line="360" w:lineRule="auto"/>
        <w:jc w:val="both"/>
        <w:rPr>
          <w:b/>
          <w:bCs/>
          <w:color w:val="2E7D32"/>
        </w:rPr>
      </w:pPr>
      <w:r w:rsidRPr="00E34799">
        <w:rPr>
          <w:b/>
          <w:bCs/>
          <w:color w:val="2E7D32"/>
        </w:rPr>
        <w:t>Eixo 3 — Gestão de pessoal e estrutura administrativa</w:t>
      </w:r>
    </w:p>
    <w:p w14:paraId="2B563D97" w14:textId="77777777" w:rsidR="00D964D2" w:rsidRPr="00114E35" w:rsidRDefault="00D964D2" w:rsidP="004A437D">
      <w:pPr>
        <w:spacing w:after="160" w:line="360" w:lineRule="auto"/>
        <w:jc w:val="both"/>
      </w:pPr>
      <w:r w:rsidRPr="00114E35">
        <w:rPr>
          <w:b/>
          <w:bCs/>
        </w:rPr>
        <w:t>Objetivo:</w:t>
      </w:r>
      <w:r w:rsidRPr="00114E35">
        <w:t xml:space="preserve"> conter a expansão do gasto corrente, racionalizar a estrutura administrativa e reduzir despesas permanentes sem comprometer a capacidade de entrega do Estado.</w:t>
      </w:r>
    </w:p>
    <w:p w14:paraId="268597DC" w14:textId="77777777" w:rsidR="00D964D2" w:rsidRPr="00114E35" w:rsidRDefault="00D964D2" w:rsidP="004A437D">
      <w:pPr>
        <w:spacing w:after="160" w:line="360" w:lineRule="auto"/>
        <w:jc w:val="both"/>
      </w:pPr>
      <w:r w:rsidRPr="00114E35">
        <w:rPr>
          <w:b/>
          <w:bCs/>
        </w:rPr>
        <w:t>Propostas:</w:t>
      </w:r>
    </w:p>
    <w:p w14:paraId="6E1F89C4" w14:textId="6379ABC7" w:rsidR="00D964D2" w:rsidRPr="00CB3967" w:rsidRDefault="00D964D2" w:rsidP="004A437D">
      <w:pPr>
        <w:numPr>
          <w:ilvl w:val="0"/>
          <w:numId w:val="23"/>
        </w:numPr>
        <w:spacing w:after="160" w:line="360" w:lineRule="auto"/>
        <w:jc w:val="both"/>
      </w:pPr>
      <w:r w:rsidRPr="00CB3967">
        <w:rPr>
          <w:b/>
          <w:bCs/>
        </w:rPr>
        <w:t xml:space="preserve">Bloquear, no início do governo, </w:t>
      </w:r>
      <w:r w:rsidR="00D00C2C" w:rsidRPr="00CB3967">
        <w:rPr>
          <w:b/>
          <w:bCs/>
        </w:rPr>
        <w:t>5</w:t>
      </w:r>
      <w:r w:rsidRPr="00CB3967">
        <w:rPr>
          <w:b/>
          <w:bCs/>
        </w:rPr>
        <w:t>0% dos cargos comissionados e funções de confiança</w:t>
      </w:r>
      <w:r w:rsidRPr="00CB3967">
        <w:t>, com liberação posterior apenas mediante justificativa de necessidade, vinculação a entregas e validação fiscal.</w:t>
      </w:r>
    </w:p>
    <w:p w14:paraId="3948FE1E" w14:textId="61111A30" w:rsidR="00D964D2" w:rsidRPr="00114E35" w:rsidRDefault="00D964D2" w:rsidP="004A437D">
      <w:pPr>
        <w:numPr>
          <w:ilvl w:val="0"/>
          <w:numId w:val="23"/>
        </w:numPr>
        <w:spacing w:after="160" w:line="360" w:lineRule="auto"/>
        <w:jc w:val="both"/>
      </w:pPr>
      <w:r w:rsidRPr="00114E35">
        <w:rPr>
          <w:b/>
          <w:bCs/>
        </w:rPr>
        <w:t>Re</w:t>
      </w:r>
      <w:r w:rsidR="00D00C2C">
        <w:rPr>
          <w:b/>
          <w:bCs/>
        </w:rPr>
        <w:t>organizar</w:t>
      </w:r>
      <w:r w:rsidRPr="00114E35">
        <w:rPr>
          <w:b/>
          <w:bCs/>
        </w:rPr>
        <w:t xml:space="preserve"> a estrutura </w:t>
      </w:r>
      <w:r w:rsidR="00D00C2C">
        <w:rPr>
          <w:b/>
          <w:bCs/>
        </w:rPr>
        <w:t>administrativa do GDF,</w:t>
      </w:r>
      <w:r w:rsidRPr="00114E35">
        <w:t xml:space="preserve"> </w:t>
      </w:r>
      <w:r w:rsidR="00707BE2" w:rsidRPr="00707BE2">
        <w:t>com foco na eliminação de duplicidades, na redução de custos administrativos e na melhoria da coordenação governamental</w:t>
      </w:r>
      <w:r w:rsidRPr="00114E35">
        <w:t>.</w:t>
      </w:r>
    </w:p>
    <w:p w14:paraId="40498496" w14:textId="76A23E00" w:rsidR="00D964D2" w:rsidRPr="00707BE2" w:rsidRDefault="00707BE2" w:rsidP="004A437D">
      <w:pPr>
        <w:numPr>
          <w:ilvl w:val="0"/>
          <w:numId w:val="23"/>
        </w:numPr>
        <w:spacing w:after="160" w:line="360" w:lineRule="auto"/>
        <w:jc w:val="both"/>
      </w:pPr>
      <w:r w:rsidRPr="00707BE2">
        <w:rPr>
          <w:b/>
          <w:bCs/>
        </w:rPr>
        <w:t xml:space="preserve">Reforçar o controle sobre novas despesas permanentes, </w:t>
      </w:r>
      <w:r w:rsidRPr="00707BE2">
        <w:t>exigindo, além dos requisitos da LRF, estimativa de impacto para quatro anos, fonte permanente de custeio, compensação fiscal efetiva e validação prévia do Comitê de Governança Fiscal. A regra se aplicará à expansão de pessoal, gratificações, auxílios e programas continuados</w:t>
      </w:r>
      <w:r w:rsidR="00D964D2" w:rsidRPr="00707BE2">
        <w:t>.</w:t>
      </w:r>
    </w:p>
    <w:p w14:paraId="5F705777" w14:textId="70C84BEB" w:rsidR="00D964D2" w:rsidRPr="00114E35" w:rsidRDefault="00D964D2" w:rsidP="004A437D">
      <w:pPr>
        <w:numPr>
          <w:ilvl w:val="0"/>
          <w:numId w:val="23"/>
        </w:numPr>
        <w:spacing w:after="160" w:line="360" w:lineRule="auto"/>
        <w:jc w:val="both"/>
      </w:pPr>
      <w:r w:rsidRPr="00114E35">
        <w:rPr>
          <w:b/>
          <w:bCs/>
        </w:rPr>
        <w:t>Revisar gratificações, auxílios e parcelas remuneratórias</w:t>
      </w:r>
      <w:r w:rsidRPr="00114E35">
        <w:t xml:space="preserve">, </w:t>
      </w:r>
      <w:r w:rsidRPr="00707BE2">
        <w:t>com meta de mapear 100% das rubricas e propor racionalização das despesas sem justificativa funcional clara</w:t>
      </w:r>
      <w:r w:rsidRPr="00114E35">
        <w:t>.</w:t>
      </w:r>
    </w:p>
    <w:p w14:paraId="20265F81" w14:textId="77777777" w:rsidR="00D964D2" w:rsidRPr="00E34799" w:rsidRDefault="00D964D2" w:rsidP="004A437D">
      <w:pPr>
        <w:spacing w:after="160" w:line="360" w:lineRule="auto"/>
        <w:jc w:val="both"/>
        <w:rPr>
          <w:b/>
          <w:bCs/>
          <w:color w:val="2E7D32"/>
        </w:rPr>
      </w:pPr>
      <w:r w:rsidRPr="00E34799">
        <w:rPr>
          <w:b/>
          <w:bCs/>
          <w:color w:val="2E7D32"/>
        </w:rPr>
        <w:t>Eixo 4 — Governança fiscal, investimento e endividamento responsável</w:t>
      </w:r>
    </w:p>
    <w:p w14:paraId="7B2A8CAF" w14:textId="77777777" w:rsidR="00D964D2" w:rsidRPr="00114E35" w:rsidRDefault="00D964D2" w:rsidP="004A437D">
      <w:pPr>
        <w:spacing w:after="160" w:line="360" w:lineRule="auto"/>
        <w:jc w:val="both"/>
      </w:pPr>
      <w:r w:rsidRPr="00114E35">
        <w:rPr>
          <w:b/>
          <w:bCs/>
        </w:rPr>
        <w:t>Objetivo:</w:t>
      </w:r>
      <w:r w:rsidRPr="00114E35">
        <w:t xml:space="preserve"> reconstruir a sustentabilidade fiscal do DF, recuperar a capacidade de pagamento e elevar o investimento público de forma responsável.</w:t>
      </w:r>
    </w:p>
    <w:p w14:paraId="2A6417F3" w14:textId="77777777" w:rsidR="00D964D2" w:rsidRPr="00114E35" w:rsidRDefault="00D964D2" w:rsidP="004A437D">
      <w:pPr>
        <w:spacing w:after="160" w:line="360" w:lineRule="auto"/>
        <w:jc w:val="both"/>
      </w:pPr>
      <w:r w:rsidRPr="00114E35">
        <w:rPr>
          <w:b/>
          <w:bCs/>
        </w:rPr>
        <w:t>Propostas:</w:t>
      </w:r>
    </w:p>
    <w:p w14:paraId="5CF7A137" w14:textId="36293E67" w:rsidR="00D964D2" w:rsidRPr="00114E35" w:rsidRDefault="00D964D2" w:rsidP="004A437D">
      <w:pPr>
        <w:numPr>
          <w:ilvl w:val="0"/>
          <w:numId w:val="24"/>
        </w:numPr>
        <w:spacing w:after="160" w:line="360" w:lineRule="auto"/>
        <w:jc w:val="both"/>
      </w:pPr>
      <w:r>
        <w:rPr>
          <w:b/>
          <w:bCs/>
        </w:rPr>
        <w:t>Ampliar</w:t>
      </w:r>
      <w:r w:rsidRPr="00114E35">
        <w:rPr>
          <w:b/>
          <w:bCs/>
        </w:rPr>
        <w:t xml:space="preserve"> superávits correntes e recuperar a capacidade de pagamento do DF</w:t>
      </w:r>
      <w:r w:rsidRPr="00114E35">
        <w:t xml:space="preserve">, com meta de </w:t>
      </w:r>
      <w:r w:rsidRPr="007B03A5">
        <w:t>retornar à CAPAG B ou superior ao</w:t>
      </w:r>
      <w:r w:rsidRPr="00114E35">
        <w:t xml:space="preserve"> longo do mandato.</w:t>
      </w:r>
    </w:p>
    <w:p w14:paraId="22F08FF4" w14:textId="110464CA" w:rsidR="00D964D2" w:rsidRPr="00114E35" w:rsidRDefault="00D964D2" w:rsidP="004A437D">
      <w:pPr>
        <w:numPr>
          <w:ilvl w:val="0"/>
          <w:numId w:val="24"/>
        </w:numPr>
        <w:spacing w:after="160" w:line="360" w:lineRule="auto"/>
        <w:jc w:val="both"/>
      </w:pPr>
      <w:r w:rsidRPr="00114E35">
        <w:rPr>
          <w:b/>
          <w:bCs/>
        </w:rPr>
        <w:t>Elevar o investimento público como proporção da Receita Corrente Líquida</w:t>
      </w:r>
      <w:r w:rsidRPr="00114E35">
        <w:t xml:space="preserve">, com meta de </w:t>
      </w:r>
      <w:r>
        <w:t xml:space="preserve">colocar </w:t>
      </w:r>
      <w:r w:rsidRPr="00114E35">
        <w:t xml:space="preserve">o DF </w:t>
      </w:r>
      <w:r>
        <w:t xml:space="preserve">entre os cinco </w:t>
      </w:r>
      <w:r w:rsidRPr="00114E35">
        <w:t xml:space="preserve">estados </w:t>
      </w:r>
      <w:r>
        <w:t xml:space="preserve">que mais investem </w:t>
      </w:r>
      <w:r w:rsidRPr="00114E35">
        <w:t>até o fim do mandato.</w:t>
      </w:r>
    </w:p>
    <w:p w14:paraId="01CF365F" w14:textId="0575FBF2" w:rsidR="00D964D2" w:rsidRPr="00114E35" w:rsidRDefault="00D964D2" w:rsidP="004A437D">
      <w:pPr>
        <w:numPr>
          <w:ilvl w:val="0"/>
          <w:numId w:val="24"/>
        </w:numPr>
        <w:spacing w:after="160" w:line="360" w:lineRule="auto"/>
        <w:jc w:val="both"/>
      </w:pPr>
      <w:r w:rsidRPr="00114E35">
        <w:rPr>
          <w:b/>
          <w:bCs/>
        </w:rPr>
        <w:t>Adotar metas fiscais plurianuais</w:t>
      </w:r>
      <w:r w:rsidRPr="00114E35">
        <w:t xml:space="preserve">, com horizonte </w:t>
      </w:r>
      <w:r w:rsidRPr="007B03A5">
        <w:t xml:space="preserve">de </w:t>
      </w:r>
      <w:r w:rsidR="007B03A5">
        <w:t>quatro</w:t>
      </w:r>
      <w:r w:rsidRPr="007B03A5">
        <w:t xml:space="preserve"> anos</w:t>
      </w:r>
      <w:r w:rsidRPr="00114E35">
        <w:t>,</w:t>
      </w:r>
      <w:r w:rsidR="007B03A5">
        <w:t xml:space="preserve"> a exemplo do que tem sido feito na esfera federal,</w:t>
      </w:r>
      <w:r w:rsidRPr="00114E35">
        <w:t xml:space="preserve"> abrangendo </w:t>
      </w:r>
      <w:r w:rsidR="007B03A5">
        <w:t xml:space="preserve">dimensões como </w:t>
      </w:r>
      <w:r w:rsidRPr="00114E35">
        <w:t>resultado corrente, resultado primário, dívida, caixa, pessoal, investimento</w:t>
      </w:r>
      <w:r w:rsidR="007B03A5">
        <w:t xml:space="preserve"> e</w:t>
      </w:r>
      <w:r w:rsidRPr="00114E35">
        <w:t xml:space="preserve"> precatórios.</w:t>
      </w:r>
    </w:p>
    <w:p w14:paraId="05658CDE" w14:textId="6BA980D0" w:rsidR="00D964D2" w:rsidRPr="00114E35" w:rsidRDefault="00D964D2" w:rsidP="004A437D">
      <w:pPr>
        <w:numPr>
          <w:ilvl w:val="0"/>
          <w:numId w:val="24"/>
        </w:numPr>
        <w:spacing w:after="160" w:line="360" w:lineRule="auto"/>
        <w:jc w:val="both"/>
      </w:pPr>
      <w:r w:rsidRPr="00114E35">
        <w:rPr>
          <w:b/>
          <w:bCs/>
        </w:rPr>
        <w:lastRenderedPageBreak/>
        <w:t xml:space="preserve">Criar Comitê </w:t>
      </w:r>
      <w:r>
        <w:rPr>
          <w:b/>
          <w:bCs/>
        </w:rPr>
        <w:t>de Governança</w:t>
      </w:r>
      <w:r w:rsidRPr="00114E35">
        <w:rPr>
          <w:b/>
          <w:bCs/>
        </w:rPr>
        <w:t xml:space="preserve"> Fiscal</w:t>
      </w:r>
      <w:r w:rsidRPr="00114E35">
        <w:t>, responsável por monitorar riscos fiscais, avaliar metas, propor medidas corretivas, validar expansão de despesas permanentes e acompanhar a carteira de investimentos</w:t>
      </w:r>
      <w:r>
        <w:t xml:space="preserve"> estratégicos</w:t>
      </w:r>
      <w:r w:rsidRPr="00114E35">
        <w:t>.</w:t>
      </w:r>
    </w:p>
    <w:p w14:paraId="7707B426" w14:textId="77777777" w:rsidR="00D964D2" w:rsidRPr="00114E35" w:rsidRDefault="00D964D2" w:rsidP="004A437D">
      <w:pPr>
        <w:numPr>
          <w:ilvl w:val="0"/>
          <w:numId w:val="24"/>
        </w:numPr>
        <w:spacing w:after="160" w:line="360" w:lineRule="auto"/>
        <w:jc w:val="both"/>
      </w:pPr>
      <w:r w:rsidRPr="00114E35">
        <w:rPr>
          <w:b/>
          <w:bCs/>
        </w:rPr>
        <w:t>Manter a dívida consolidada abaixo de limite prudencial de 60% da RCL</w:t>
      </w:r>
      <w:r w:rsidRPr="00114E35">
        <w:t>, com avaliação prévia de impacto sobre juros, amortizações, capacidade de pagamento e espaço fiscal futuro.</w:t>
      </w:r>
    </w:p>
    <w:p w14:paraId="238609F9" w14:textId="77777777" w:rsidR="00D964D2" w:rsidRPr="00114E35" w:rsidRDefault="00D964D2" w:rsidP="004A437D">
      <w:pPr>
        <w:numPr>
          <w:ilvl w:val="0"/>
          <w:numId w:val="24"/>
        </w:numPr>
        <w:spacing w:after="160" w:line="360" w:lineRule="auto"/>
        <w:jc w:val="both"/>
      </w:pPr>
      <w:r w:rsidRPr="00114E35">
        <w:rPr>
          <w:b/>
          <w:bCs/>
        </w:rPr>
        <w:t>Monitorar os compromissos futuros com PPPs</w:t>
      </w:r>
      <w:r w:rsidRPr="00114E35">
        <w:t xml:space="preserve">, preservando margem fiscal em relação ao limite legal </w:t>
      </w:r>
      <w:r w:rsidRPr="001236D5">
        <w:t>de 5% da RCL e evitando</w:t>
      </w:r>
      <w:r w:rsidRPr="00114E35">
        <w:t xml:space="preserve"> que contratos de longo prazo comprimam o orçamento corrente.</w:t>
      </w:r>
    </w:p>
    <w:p w14:paraId="683967BA" w14:textId="31737D9C" w:rsidR="00D964D2" w:rsidRPr="00655466" w:rsidRDefault="00655466" w:rsidP="004A437D">
      <w:pPr>
        <w:numPr>
          <w:ilvl w:val="0"/>
          <w:numId w:val="24"/>
        </w:numPr>
        <w:spacing w:after="160" w:line="360" w:lineRule="auto"/>
        <w:jc w:val="both"/>
      </w:pPr>
      <w:r w:rsidRPr="00655466">
        <w:rPr>
          <w:b/>
          <w:bCs/>
        </w:rPr>
        <w:t>Integrar as despesas custeadas pelo FCDF ao planejamento fiscal de médio prazo do DF</w:t>
      </w:r>
      <w:r w:rsidRPr="00655466">
        <w:t>, com governança específica sobre pessoal, custeio e investimentos nas áreas financiadas pelo Fundo, respeitadas as competências federais e as regras próprias de execução. A medida deve permitir mensurar riscos, pressões futuras e impactos sobre saúde, educação e segurança pública.</w:t>
      </w:r>
      <w:r w:rsidR="00D00C2C" w:rsidRPr="00655466">
        <w:t>.</w:t>
      </w:r>
    </w:p>
    <w:p w14:paraId="4D53D8C5" w14:textId="77777777" w:rsidR="00490258" w:rsidRDefault="00490258" w:rsidP="00490258">
      <w:pPr>
        <w:numPr>
          <w:ilvl w:val="0"/>
          <w:numId w:val="24"/>
        </w:numPr>
        <w:spacing w:after="160" w:line="360" w:lineRule="auto"/>
        <w:jc w:val="both"/>
      </w:pPr>
      <w:commentRangeStart w:id="1"/>
      <w:r w:rsidRPr="00490258">
        <w:rPr>
          <w:b/>
          <w:bCs/>
        </w:rPr>
        <w:t>Realizar auditoria de qualidade dos ativos do BRB</w:t>
      </w:r>
      <w:r>
        <w:t>, com foco na transparência da carteira, na identificação de riscos relevantes e na prevenção de eventuais necessidades de aporte emergencial pelo Tesouro do DF.</w:t>
      </w:r>
    </w:p>
    <w:p w14:paraId="593BB4B3" w14:textId="490D70CC" w:rsidR="00490258" w:rsidRDefault="00490258" w:rsidP="00490258">
      <w:pPr>
        <w:numPr>
          <w:ilvl w:val="0"/>
          <w:numId w:val="24"/>
        </w:numPr>
        <w:spacing w:after="160" w:line="360" w:lineRule="auto"/>
        <w:jc w:val="both"/>
      </w:pPr>
      <w:r w:rsidRPr="00490258">
        <w:rPr>
          <w:b/>
          <w:bCs/>
        </w:rPr>
        <w:t>Reforçar a governança de riscos do BRB</w:t>
      </w:r>
      <w:r>
        <w:t>, com atenção especial a exposições concentradas, ativos de maior risco e potenciais impactos decorrentes do chamado “Risco Master”</w:t>
      </w:r>
      <w:r>
        <w:t>, por meio da criação de</w:t>
      </w:r>
      <w:r>
        <w:t xml:space="preserve"> comitês técnicos de validação prévia, abaixo das diretorias, para avaliar operações, investimentos e decisões financeiras de maior risco.</w:t>
      </w:r>
    </w:p>
    <w:p w14:paraId="66DE883D" w14:textId="77777777" w:rsidR="00490258" w:rsidRDefault="00490258" w:rsidP="00490258">
      <w:pPr>
        <w:numPr>
          <w:ilvl w:val="0"/>
          <w:numId w:val="24"/>
        </w:numPr>
        <w:spacing w:after="160" w:line="360" w:lineRule="auto"/>
        <w:jc w:val="both"/>
      </w:pPr>
      <w:r w:rsidRPr="00490258">
        <w:rPr>
          <w:b/>
          <w:bCs/>
        </w:rPr>
        <w:t>Fortalecer a gestão dos passivos previdenciários do DF</w:t>
      </w:r>
      <w:r>
        <w:t>, com foco no equilíbrio de longo prazo do Iprev-DF, na compatibilização entre ativos e passivos previdenciários e na adoção de estratégias de investimento mais aderentes ao perfil das obrigações futuras.</w:t>
      </w:r>
    </w:p>
    <w:p w14:paraId="021D7C42" w14:textId="77777777" w:rsidR="00490258" w:rsidRDefault="00490258" w:rsidP="00490258">
      <w:pPr>
        <w:numPr>
          <w:ilvl w:val="0"/>
          <w:numId w:val="24"/>
        </w:numPr>
        <w:spacing w:after="160" w:line="360" w:lineRule="auto"/>
        <w:jc w:val="both"/>
      </w:pPr>
      <w:r w:rsidRPr="00490258">
        <w:rPr>
          <w:b/>
          <w:bCs/>
        </w:rPr>
        <w:t>Revisar a carteira de ativos previdenciários</w:t>
      </w:r>
      <w:r>
        <w:t>, avaliando a migração gradual para instrumentos mais seguros e compatíveis com o passivo atuarial, como NTN-Bs, além do tratamento segregado de ativos problemáticos ou de baixa liquidez.</w:t>
      </w:r>
    </w:p>
    <w:p w14:paraId="17F576BF" w14:textId="1A7E9BA0" w:rsidR="00C07701" w:rsidRDefault="00490258" w:rsidP="009816A9">
      <w:pPr>
        <w:numPr>
          <w:ilvl w:val="0"/>
          <w:numId w:val="24"/>
        </w:numPr>
        <w:spacing w:after="160" w:line="360" w:lineRule="auto"/>
        <w:jc w:val="both"/>
      </w:pPr>
      <w:r w:rsidRPr="00490258">
        <w:rPr>
          <w:b/>
          <w:bCs/>
        </w:rPr>
        <w:t>Aprimorar a governança do DF-Previcom</w:t>
      </w:r>
      <w:r>
        <w:t>, com regras claras de transparência, gestão de riscos, qualificação técnica e prevenção de conflitos de interesse.</w:t>
      </w:r>
      <w:commentRangeEnd w:id="1"/>
      <w:r w:rsidR="004B3259">
        <w:rPr>
          <w:rStyle w:val="Refdecomentrio"/>
          <w:sz w:val="22"/>
          <w:szCs w:val="22"/>
        </w:rPr>
        <w:commentReference w:id="1"/>
      </w:r>
    </w:p>
    <w:sectPr w:rsidR="00C07701" w:rsidSect="00034616">
      <w:pgSz w:w="12240" w:h="15840"/>
      <w:pgMar w:top="1134" w:right="1134" w:bottom="1134" w:left="113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niel Veloso Couri" w:date="2026-05-18T13:15:00Z" w:initials="DV">
    <w:p w14:paraId="6F8A9724" w14:textId="77777777" w:rsidR="004B3259" w:rsidRDefault="004B3259" w:rsidP="004B3259">
      <w:pPr>
        <w:pStyle w:val="Textodecomentrio"/>
      </w:pPr>
      <w:r>
        <w:rPr>
          <w:rStyle w:val="Refdecomentrio"/>
        </w:rPr>
        <w:annotationRef/>
      </w:r>
      <w:r>
        <w:t>Sugestões do Jorge</w:t>
      </w:r>
    </w:p>
  </w:comment>
  <w:comment w:id="1" w:author="Daniel Veloso Couri" w:date="2026-05-18T13:14:00Z" w:initials="DV">
    <w:p w14:paraId="2897271A" w14:textId="77777777" w:rsidR="004B3259" w:rsidRDefault="004B3259" w:rsidP="004B3259">
      <w:pPr>
        <w:pStyle w:val="Textodecomentrio"/>
      </w:pPr>
      <w:r>
        <w:rPr>
          <w:rStyle w:val="Refdecomentrio"/>
        </w:rPr>
        <w:annotationRef/>
      </w:r>
      <w:r>
        <w:t>Sugestões do Jorge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8A9724" w15:done="0"/>
  <w15:commentEx w15:paraId="2897271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5F65CB" w16cex:dateUtc="2026-05-18T16:15:00Z"/>
  <w16cex:commentExtensible w16cex:durableId="4A40239E" w16cex:dateUtc="2026-05-18T16: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8A9724" w16cid:durableId="4F5F65CB"/>
  <w16cid:commentId w16cid:paraId="2897271A" w16cid:durableId="4A40239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3E7D2" w14:textId="77777777" w:rsidR="00E443F7" w:rsidRDefault="00E443F7" w:rsidP="008D6449">
      <w:pPr>
        <w:spacing w:after="0" w:line="240" w:lineRule="auto"/>
      </w:pPr>
      <w:r>
        <w:separator/>
      </w:r>
    </w:p>
  </w:endnote>
  <w:endnote w:type="continuationSeparator" w:id="0">
    <w:p w14:paraId="17D44B3F" w14:textId="77777777" w:rsidR="00E443F7" w:rsidRDefault="00E443F7" w:rsidP="008D64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A99AC" w14:textId="77777777" w:rsidR="00E443F7" w:rsidRDefault="00E443F7" w:rsidP="008D6449">
      <w:pPr>
        <w:spacing w:after="0" w:line="240" w:lineRule="auto"/>
      </w:pPr>
      <w:r>
        <w:separator/>
      </w:r>
    </w:p>
  </w:footnote>
  <w:footnote w:type="continuationSeparator" w:id="0">
    <w:p w14:paraId="236CE423" w14:textId="77777777" w:rsidR="00E443F7" w:rsidRDefault="00E443F7" w:rsidP="008D6449">
      <w:pPr>
        <w:spacing w:after="0" w:line="240" w:lineRule="auto"/>
      </w:pPr>
      <w:r>
        <w:continuationSeparator/>
      </w:r>
    </w:p>
  </w:footnote>
  <w:footnote w:id="1">
    <w:p w14:paraId="0C142969" w14:textId="77777777" w:rsidR="008D6449" w:rsidRDefault="008D6449" w:rsidP="008D6449">
      <w:pPr>
        <w:pStyle w:val="Textodenotaderodap"/>
      </w:pPr>
      <w:r>
        <w:rPr>
          <w:rStyle w:val="Refdenotaderodap"/>
        </w:rPr>
        <w:footnoteRef/>
      </w:r>
      <w:r>
        <w:t xml:space="preserve"> Previsão em março de 2026.</w:t>
      </w:r>
    </w:p>
  </w:footnote>
  <w:footnote w:id="2">
    <w:p w14:paraId="195710FB" w14:textId="760FC60B" w:rsidR="00CD3CBB" w:rsidRDefault="00CD3CBB">
      <w:pPr>
        <w:pStyle w:val="Textodenotaderodap"/>
      </w:pPr>
      <w:r>
        <w:rPr>
          <w:rStyle w:val="Refdenotaderodap"/>
        </w:rPr>
        <w:footnoteRef/>
      </w:r>
      <w:r>
        <w:t xml:space="preserve"> A </w:t>
      </w:r>
      <w:r w:rsidRPr="00CD3CBB">
        <w:t xml:space="preserve">Receita Corrente Líquida é a receita corrente disponível do ente nos últimos 12 meses, já descontadas as deduções legais. No caso do DF, a RCL </w:t>
      </w:r>
      <w:r>
        <w:t xml:space="preserve">também </w:t>
      </w:r>
      <w:r w:rsidRPr="00CD3CBB">
        <w:t>não inclui os recursos do FCDF.</w:t>
      </w:r>
      <w:r>
        <w:t xml:space="preserve"> Em 2025, a RCL do DF foi de R$ 39,2 bilhões.</w:t>
      </w:r>
    </w:p>
  </w:footnote>
  <w:footnote w:id="3">
    <w:p w14:paraId="5E4B7DE2" w14:textId="5BE58F0A" w:rsidR="00AA27D5" w:rsidRDefault="00AA27D5">
      <w:pPr>
        <w:pStyle w:val="Textodenotaderodap"/>
      </w:pPr>
      <w:r>
        <w:rPr>
          <w:rStyle w:val="Refdenotaderodap"/>
        </w:rPr>
        <w:footnoteRef/>
      </w:r>
      <w:r>
        <w:t xml:space="preserve"> Trata-se de conceito da LRF. A dívida consolidada (ou fundada) é o montante total das obrigações financeiras do ente com amortização em prazo superior a doze meses. </w:t>
      </w:r>
    </w:p>
  </w:footnote>
  <w:footnote w:id="4">
    <w:p w14:paraId="28E6C583" w14:textId="644838B7" w:rsidR="00BC4C70" w:rsidRDefault="00BC4C70">
      <w:pPr>
        <w:pStyle w:val="Textodenotaderodap"/>
      </w:pPr>
      <w:r>
        <w:rPr>
          <w:rStyle w:val="Refdenotaderodap"/>
        </w:rPr>
        <w:footnoteRef/>
      </w:r>
      <w:r>
        <w:t xml:space="preserve"> Disponível em: </w:t>
      </w:r>
      <w:hyperlink r:id="rId1" w:history="1">
        <w:r w:rsidRPr="00BE0DBA">
          <w:rPr>
            <w:rStyle w:val="Hyperlink"/>
          </w:rPr>
          <w:t>https://paineis.fazenda.df.gov.br/beneficiometro/</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4210CF7C"/>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EBE3156"/>
    <w:multiLevelType w:val="hybridMultilevel"/>
    <w:tmpl w:val="416E95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A4B7329"/>
    <w:multiLevelType w:val="hybridMultilevel"/>
    <w:tmpl w:val="1FA2F7E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1D1C0162"/>
    <w:multiLevelType w:val="multilevel"/>
    <w:tmpl w:val="824E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ED693F"/>
    <w:multiLevelType w:val="multilevel"/>
    <w:tmpl w:val="A61A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27088C"/>
    <w:multiLevelType w:val="hybridMultilevel"/>
    <w:tmpl w:val="3742675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A5430E1"/>
    <w:multiLevelType w:val="hybridMultilevel"/>
    <w:tmpl w:val="C854B72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550D15E2"/>
    <w:multiLevelType w:val="hybridMultilevel"/>
    <w:tmpl w:val="730402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53C17F7"/>
    <w:multiLevelType w:val="hybridMultilevel"/>
    <w:tmpl w:val="486006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3C42ABD"/>
    <w:multiLevelType w:val="hybridMultilevel"/>
    <w:tmpl w:val="ADE25FF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65DE475B"/>
    <w:multiLevelType w:val="hybridMultilevel"/>
    <w:tmpl w:val="416E95F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67335D5C"/>
    <w:multiLevelType w:val="hybridMultilevel"/>
    <w:tmpl w:val="A3FED6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73392021"/>
    <w:multiLevelType w:val="multilevel"/>
    <w:tmpl w:val="7D7A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176C38"/>
    <w:multiLevelType w:val="multilevel"/>
    <w:tmpl w:val="E6D4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D14523"/>
    <w:multiLevelType w:val="multilevel"/>
    <w:tmpl w:val="00C61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553568">
    <w:abstractNumId w:val="8"/>
  </w:num>
  <w:num w:numId="2" w16cid:durableId="579802038">
    <w:abstractNumId w:val="6"/>
  </w:num>
  <w:num w:numId="3" w16cid:durableId="79647563">
    <w:abstractNumId w:val="5"/>
  </w:num>
  <w:num w:numId="4" w16cid:durableId="2060784043">
    <w:abstractNumId w:val="4"/>
  </w:num>
  <w:num w:numId="5" w16cid:durableId="1383403770">
    <w:abstractNumId w:val="7"/>
  </w:num>
  <w:num w:numId="6" w16cid:durableId="95905819">
    <w:abstractNumId w:val="3"/>
  </w:num>
  <w:num w:numId="7" w16cid:durableId="1375274486">
    <w:abstractNumId w:val="2"/>
  </w:num>
  <w:num w:numId="8" w16cid:durableId="872114882">
    <w:abstractNumId w:val="1"/>
  </w:num>
  <w:num w:numId="9" w16cid:durableId="1579439007">
    <w:abstractNumId w:val="0"/>
  </w:num>
  <w:num w:numId="10" w16cid:durableId="1817334984">
    <w:abstractNumId w:val="16"/>
  </w:num>
  <w:num w:numId="11" w16cid:durableId="419371764">
    <w:abstractNumId w:val="13"/>
  </w:num>
  <w:num w:numId="12" w16cid:durableId="1961451607">
    <w:abstractNumId w:val="8"/>
  </w:num>
  <w:num w:numId="13" w16cid:durableId="46759136">
    <w:abstractNumId w:val="18"/>
  </w:num>
  <w:num w:numId="14" w16cid:durableId="637339560">
    <w:abstractNumId w:val="19"/>
  </w:num>
  <w:num w:numId="15" w16cid:durableId="1572615707">
    <w:abstractNumId w:val="8"/>
  </w:num>
  <w:num w:numId="16" w16cid:durableId="1770930486">
    <w:abstractNumId w:val="9"/>
  </w:num>
  <w:num w:numId="17" w16cid:durableId="1499034910">
    <w:abstractNumId w:val="11"/>
  </w:num>
  <w:num w:numId="18" w16cid:durableId="1407922000">
    <w:abstractNumId w:val="15"/>
  </w:num>
  <w:num w:numId="19" w16cid:durableId="898634648">
    <w:abstractNumId w:val="17"/>
  </w:num>
  <w:num w:numId="20" w16cid:durableId="730881118">
    <w:abstractNumId w:val="14"/>
  </w:num>
  <w:num w:numId="21" w16cid:durableId="1148013529">
    <w:abstractNumId w:val="12"/>
  </w:num>
  <w:num w:numId="22" w16cid:durableId="2014064905">
    <w:abstractNumId w:val="22"/>
  </w:num>
  <w:num w:numId="23" w16cid:durableId="238095700">
    <w:abstractNumId w:val="20"/>
  </w:num>
  <w:num w:numId="24" w16cid:durableId="820077334">
    <w:abstractNumId w:val="21"/>
  </w:num>
  <w:num w:numId="25" w16cid:durableId="1219173407">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Veloso Couri">
    <w15:presenceInfo w15:providerId="AD" w15:userId="S::DANIELVC@senado.leg.br::f0654762-d24a-4e2e-aa32-df5d0d33c5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A1E"/>
    <w:rsid w:val="00034616"/>
    <w:rsid w:val="0006063C"/>
    <w:rsid w:val="00063C10"/>
    <w:rsid w:val="001236D5"/>
    <w:rsid w:val="0015074B"/>
    <w:rsid w:val="001F1FD5"/>
    <w:rsid w:val="0029639D"/>
    <w:rsid w:val="00326F90"/>
    <w:rsid w:val="00365945"/>
    <w:rsid w:val="003749BF"/>
    <w:rsid w:val="003C7259"/>
    <w:rsid w:val="003F4C16"/>
    <w:rsid w:val="00455365"/>
    <w:rsid w:val="00490258"/>
    <w:rsid w:val="004A437D"/>
    <w:rsid w:val="004B3259"/>
    <w:rsid w:val="004D622C"/>
    <w:rsid w:val="00504649"/>
    <w:rsid w:val="00507DA9"/>
    <w:rsid w:val="00534EC1"/>
    <w:rsid w:val="00583C0A"/>
    <w:rsid w:val="005A57B4"/>
    <w:rsid w:val="00655466"/>
    <w:rsid w:val="00663D09"/>
    <w:rsid w:val="00691706"/>
    <w:rsid w:val="006979F6"/>
    <w:rsid w:val="006D3D5A"/>
    <w:rsid w:val="006E6CDA"/>
    <w:rsid w:val="00707BE2"/>
    <w:rsid w:val="00750FA3"/>
    <w:rsid w:val="007A2D89"/>
    <w:rsid w:val="007B03A5"/>
    <w:rsid w:val="007E7FC5"/>
    <w:rsid w:val="00807186"/>
    <w:rsid w:val="00897BBB"/>
    <w:rsid w:val="008B23B9"/>
    <w:rsid w:val="008D6449"/>
    <w:rsid w:val="009529AC"/>
    <w:rsid w:val="00960C19"/>
    <w:rsid w:val="009816A9"/>
    <w:rsid w:val="00996D25"/>
    <w:rsid w:val="009A0446"/>
    <w:rsid w:val="00A6042F"/>
    <w:rsid w:val="00AA1D8D"/>
    <w:rsid w:val="00AA27D5"/>
    <w:rsid w:val="00AC6AE1"/>
    <w:rsid w:val="00B4530C"/>
    <w:rsid w:val="00B47730"/>
    <w:rsid w:val="00B567EF"/>
    <w:rsid w:val="00B73421"/>
    <w:rsid w:val="00BB0B43"/>
    <w:rsid w:val="00BC4C70"/>
    <w:rsid w:val="00BC5629"/>
    <w:rsid w:val="00BC7235"/>
    <w:rsid w:val="00C07701"/>
    <w:rsid w:val="00C10032"/>
    <w:rsid w:val="00C35D4C"/>
    <w:rsid w:val="00CA32A1"/>
    <w:rsid w:val="00CB0664"/>
    <w:rsid w:val="00CB3967"/>
    <w:rsid w:val="00CD30E7"/>
    <w:rsid w:val="00CD3CBB"/>
    <w:rsid w:val="00D00C2C"/>
    <w:rsid w:val="00D124C5"/>
    <w:rsid w:val="00D34EED"/>
    <w:rsid w:val="00D44EC5"/>
    <w:rsid w:val="00D65537"/>
    <w:rsid w:val="00D65BE4"/>
    <w:rsid w:val="00D964D2"/>
    <w:rsid w:val="00D97459"/>
    <w:rsid w:val="00DF4185"/>
    <w:rsid w:val="00E068C4"/>
    <w:rsid w:val="00E34799"/>
    <w:rsid w:val="00E443F7"/>
    <w:rsid w:val="00E80BC1"/>
    <w:rsid w:val="00E87DE4"/>
    <w:rsid w:val="00F42A70"/>
    <w:rsid w:val="00FC693F"/>
    <w:rsid w:val="00FE5D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7AD431"/>
  <w14:defaultImageDpi w14:val="300"/>
  <w15:docId w15:val="{0A6CDCA8-E536-4D33-AE81-B99BB3632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pt-BR"/>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notaderodap">
    <w:name w:val="footnote text"/>
    <w:basedOn w:val="Normal"/>
    <w:link w:val="TextodenotaderodapChar"/>
    <w:uiPriority w:val="99"/>
    <w:semiHidden/>
    <w:unhideWhenUsed/>
    <w:rsid w:val="008D6449"/>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8D6449"/>
    <w:rPr>
      <w:sz w:val="20"/>
      <w:szCs w:val="20"/>
      <w:lang w:val="pt-BR"/>
    </w:rPr>
  </w:style>
  <w:style w:type="character" w:styleId="Refdenotaderodap">
    <w:name w:val="footnote reference"/>
    <w:basedOn w:val="Fontepargpadro"/>
    <w:uiPriority w:val="99"/>
    <w:semiHidden/>
    <w:unhideWhenUsed/>
    <w:rsid w:val="008D6449"/>
    <w:rPr>
      <w:vertAlign w:val="superscript"/>
    </w:rPr>
  </w:style>
  <w:style w:type="character" w:styleId="Hyperlink">
    <w:name w:val="Hyperlink"/>
    <w:basedOn w:val="Fontepargpadro"/>
    <w:uiPriority w:val="99"/>
    <w:unhideWhenUsed/>
    <w:rsid w:val="00BC4C70"/>
    <w:rPr>
      <w:color w:val="0000FF" w:themeColor="hyperlink"/>
      <w:u w:val="single"/>
    </w:rPr>
  </w:style>
  <w:style w:type="character" w:styleId="MenoPendente">
    <w:name w:val="Unresolved Mention"/>
    <w:basedOn w:val="Fontepargpadro"/>
    <w:uiPriority w:val="99"/>
    <w:semiHidden/>
    <w:unhideWhenUsed/>
    <w:rsid w:val="00BC4C70"/>
    <w:rPr>
      <w:color w:val="605E5C"/>
      <w:shd w:val="clear" w:color="auto" w:fill="E1DFDD"/>
    </w:rPr>
  </w:style>
  <w:style w:type="character" w:styleId="Refdecomentrio">
    <w:name w:val="annotation reference"/>
    <w:basedOn w:val="Fontepargpadro"/>
    <w:uiPriority w:val="99"/>
    <w:semiHidden/>
    <w:unhideWhenUsed/>
    <w:rsid w:val="004B3259"/>
    <w:rPr>
      <w:sz w:val="16"/>
      <w:szCs w:val="16"/>
    </w:rPr>
  </w:style>
  <w:style w:type="paragraph" w:styleId="Textodecomentrio">
    <w:name w:val="annotation text"/>
    <w:basedOn w:val="Normal"/>
    <w:link w:val="TextodecomentrioChar"/>
    <w:uiPriority w:val="99"/>
    <w:unhideWhenUsed/>
    <w:rsid w:val="004B3259"/>
    <w:pPr>
      <w:spacing w:line="240" w:lineRule="auto"/>
    </w:pPr>
    <w:rPr>
      <w:sz w:val="20"/>
      <w:szCs w:val="20"/>
    </w:rPr>
  </w:style>
  <w:style w:type="character" w:customStyle="1" w:styleId="TextodecomentrioChar">
    <w:name w:val="Texto de comentário Char"/>
    <w:basedOn w:val="Fontepargpadro"/>
    <w:link w:val="Textodecomentrio"/>
    <w:uiPriority w:val="99"/>
    <w:rsid w:val="004B3259"/>
    <w:rPr>
      <w:sz w:val="20"/>
      <w:szCs w:val="20"/>
      <w:lang w:val="pt-BR"/>
    </w:rPr>
  </w:style>
  <w:style w:type="paragraph" w:styleId="Assuntodocomentrio">
    <w:name w:val="annotation subject"/>
    <w:basedOn w:val="Textodecomentrio"/>
    <w:next w:val="Textodecomentrio"/>
    <w:link w:val="AssuntodocomentrioChar"/>
    <w:uiPriority w:val="99"/>
    <w:semiHidden/>
    <w:unhideWhenUsed/>
    <w:rsid w:val="004B3259"/>
    <w:rPr>
      <w:b/>
      <w:bCs/>
    </w:rPr>
  </w:style>
  <w:style w:type="character" w:customStyle="1" w:styleId="AssuntodocomentrioChar">
    <w:name w:val="Assunto do comentário Char"/>
    <w:basedOn w:val="TextodecomentrioChar"/>
    <w:link w:val="Assuntodocomentrio"/>
    <w:uiPriority w:val="99"/>
    <w:semiHidden/>
    <w:rsid w:val="004B3259"/>
    <w:rPr>
      <w:b/>
      <w:bCs/>
      <w:sz w:val="20"/>
      <w:szCs w:val="20"/>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paineis.fazenda.df.gov.br/beneficiomet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1570</TotalTime>
  <Pages>9</Pages>
  <Words>3260</Words>
  <Characters>17740</Characters>
  <Application>Microsoft Office Word</Application>
  <DocSecurity>0</DocSecurity>
  <Lines>454</Lines>
  <Paragraphs>368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Veloso Couri</cp:lastModifiedBy>
  <cp:revision>45</cp:revision>
  <dcterms:created xsi:type="dcterms:W3CDTF">2013-12-23T23:15:00Z</dcterms:created>
  <dcterms:modified xsi:type="dcterms:W3CDTF">2026-05-18T16:46:00Z</dcterms:modified>
  <cp:category/>
</cp:coreProperties>
</file>