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Statement of Work</w:t>
      </w:r>
    </w:p>
    <w:p>
      <w:r>
        <w:t>This Statement of Work (the “Agreement”) is entered into between Meridian Gold &amp; Copper Ltd (“Meridian”) and Cortex Systems Integration (the “Vendor”) for the provision of information technology services.</w:t>
      </w:r>
    </w:p>
    <w:p>
      <w:pPr>
        <w:pStyle w:val="Heading1"/>
      </w:pPr>
      <w:r>
        <w:t>1. Purpose and Parties</w:t>
      </w:r>
    </w:p>
    <w:p>
      <w:r>
        <w:t>The Vendor will provide managed IT services, application support, and integration work for Meridian's corporate systems across its gold and copper operations. This Agreement sets out the scope, commercial terms, and responsibilities of both parties.</w:t>
      </w:r>
    </w:p>
    <w:p>
      <w:pPr>
        <w:pStyle w:val="Heading1"/>
      </w:pPr>
      <w:r>
        <w:t>2. Scope of Services</w:t>
      </w:r>
    </w:p>
    <w:p>
      <w:pPr>
        <w:pStyle w:val="ListBullet"/>
      </w:pPr>
      <w:r>
        <w:t>Operation and maintenance of Meridian's enterprise integration platform.</w:t>
      </w:r>
    </w:p>
    <w:p>
      <w:pPr>
        <w:pStyle w:val="ListBullet"/>
      </w:pPr>
      <w:r>
        <w:t>Support for finance, supply chain, and reporting applications.</w:t>
      </w:r>
    </w:p>
    <w:p>
      <w:pPr>
        <w:pStyle w:val="ListBullet"/>
      </w:pPr>
      <w:r>
        <w:t>Delivery of a quarterly production reporting integration.</w:t>
      </w:r>
    </w:p>
    <w:p>
      <w:pPr>
        <w:pStyle w:val="ListBullet"/>
      </w:pPr>
      <w:r>
        <w:t>A named service manager and a defined escalation path.</w:t>
      </w:r>
    </w:p>
    <w:p>
      <w:pPr>
        <w:pStyle w:val="Heading1"/>
      </w:pPr>
      <w:r>
        <w:t>3. Term and Renewal</w:t>
      </w:r>
    </w:p>
    <w:p>
      <w:r>
        <w:t>The initial term of this Agreement is twelve (12) months. This Agreement renews automatically for successive twelve-month terms unless either party gives written notice of non-renewal at least ninety (90) days before the end of the then-current term.</w:t>
      </w:r>
    </w:p>
    <w:p>
      <w:pPr>
        <w:pStyle w:val="Heading1"/>
      </w:pPr>
      <w:r>
        <w:t>4. Fees and Payment</w:t>
      </w:r>
    </w:p>
    <w:p>
      <w:r>
        <w:t>Meridian will pay the Vendor the fees set out in Schedule A. Payment is due within sixty (60) days of the date of a valid invoice. Late amounts accrue interest at 1% per month.</w:t>
      </w:r>
    </w:p>
    <w:p>
      <w:pPr>
        <w:pStyle w:val="Heading1"/>
      </w:pPr>
      <w:r>
        <w:t>5. Intellectual Property</w:t>
      </w:r>
    </w:p>
    <w:p>
      <w:r>
        <w:t>Each party retains ownership of its pre-existing materials. Ownership of work product created under this Agreement may be allocated between the parties as mutually understood, having regard to each party's contribution.</w:t>
      </w:r>
    </w:p>
    <w:p>
      <w:pPr>
        <w:pStyle w:val="Heading1"/>
      </w:pPr>
      <w:r>
        <w:t>6. Warranties</w:t>
      </w:r>
    </w:p>
    <w:p>
      <w:r>
        <w:t>The Vendor warrants that the services will be performed in a professional and workmanlike manner and will conform to the specifications for a period of twelve (12) months following acceptance.</w:t>
      </w:r>
    </w:p>
    <w:p>
      <w:pPr>
        <w:pStyle w:val="Heading1"/>
      </w:pPr>
      <w:r>
        <w:t>7. Limitation of Liability</w:t>
      </w:r>
    </w:p>
    <w:p>
      <w:r>
        <w:t>Except for each party's indemnification obligations, the Vendor's aggregate liability under this Agreement shall not be subject to any cap. Neither party excludes liability that cannot be excluded at law.</w:t>
      </w:r>
    </w:p>
    <w:p>
      <w:pPr>
        <w:pStyle w:val="Heading1"/>
      </w:pPr>
      <w:r>
        <w:t>8. Insurance</w:t>
      </w:r>
    </w:p>
    <w:p>
      <w:r>
        <w:t>The Vendor will maintain commercial general liability insurance of not less than $5,000,000 per occurrence and professional indemnity insurance of not less than $5,000,000, and will provide certificates on request.</w:t>
      </w:r>
    </w:p>
    <w:p>
      <w:pPr>
        <w:pStyle w:val="Heading1"/>
      </w:pPr>
      <w:r>
        <w:t>9. Governing Law</w:t>
      </w:r>
    </w:p>
    <w:p>
      <w:r>
        <w:t>This Agreement is governed by the laws of the Province of Ontario and the federal laws of Canada applicable therein, without regard to conflict of laws principles.</w:t>
      </w:r>
    </w:p>
    <w:p>
      <w:pPr>
        <w:pStyle w:val="Heading1"/>
      </w:pPr>
      <w:r>
        <w:t>10. Acceptance Testing</w:t>
      </w:r>
    </w:p>
    <w:p>
      <w:r>
        <w:t>Meridian will have fifteen (15) business days to test each deliverable against the agreed criteria and to accept it or provide written reasons for rejection. Deliverables not rejected within that window are deemed accepted.</w:t>
      </w:r>
    </w:p>
    <w:p>
      <w:pPr>
        <w:pStyle w:val="Heading1"/>
      </w:pPr>
      <w:r>
        <w:t>11. Confidentiality</w:t>
      </w:r>
    </w:p>
    <w:p>
      <w:r>
        <w:t>Each party will keep the other party's Confidential Information in confidence and will use it only to perform this Agreement. This obligation survives termination for three (3) years.</w:t>
      </w:r>
    </w:p>
    <w:p>
      <w:pPr>
        <w:pStyle w:val="Heading1"/>
      </w:pPr>
      <w:r>
        <w:t>12. Signatures</w:t>
      </w:r>
    </w:p>
    <w:p>
      <w:r>
        <w:t>Signed for Meridian Gold &amp; Copper Ltd: ________________________</w:t>
      </w:r>
    </w:p>
    <w:p>
      <w:r>
        <w:t>Signed for Cortex Systems Integration: 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