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Gold &amp; Copper Ltd — Vendor Agreement Review Standard</w:t>
      </w:r>
    </w:p>
    <w:p>
      <w:r>
        <w:t>The house positions below apply to every inbound vendor Statement of Work. A reviewer flags any clause that departs from these positions, with the severity noted.</w:t>
      </w:r>
    </w:p>
    <w:p>
      <w:pPr>
        <w:pStyle w:val="Heading1"/>
      </w:pPr>
      <w:r>
        <w:t>Limitation of liability</w:t>
      </w:r>
    </w:p>
    <w:p>
      <w:r>
        <w:t>SEVERITY: HIGH. Vendor liability must be capped at a defined amount, ordinarily the fees paid in the preceding twelve months. An uncapped or unlimited liability clause is not acceptable and must be renegotiated.</w:t>
      </w:r>
    </w:p>
    <w:p>
      <w:pPr>
        <w:pStyle w:val="Heading1"/>
      </w:pPr>
      <w:r>
        <w:t>Term and renewal</w:t>
      </w:r>
    </w:p>
    <w:p>
      <w:r>
        <w:t>SEVERITY: MEDIUM. Automatic renewal is disfavored. Where accepted, the non-renewal notice period must not exceed thirty (30) days. A ninety-day lock is not acceptable.</w:t>
      </w:r>
    </w:p>
    <w:p>
      <w:pPr>
        <w:pStyle w:val="Heading1"/>
      </w:pPr>
      <w:r>
        <w:t>Intellectual property</w:t>
      </w:r>
    </w:p>
    <w:p>
      <w:r>
        <w:t>SEVERITY: HIGH. Ownership of work product created for Meridian must be assigned to Meridian in full and in clear language. Ambiguous or discretionary allocation is not acceptable.</w:t>
      </w:r>
    </w:p>
    <w:p>
      <w:pPr>
        <w:pStyle w:val="Heading1"/>
      </w:pPr>
      <w:r>
        <w:t>Payment terms</w:t>
      </w:r>
    </w:p>
    <w:p>
      <w:r>
        <w:t>SEVERITY: MEDIUM. Standard payment terms are net-30. Anything longer, including net-60, requires finance approval and is a deviation by default.</w:t>
      </w:r>
    </w:p>
    <w:p>
      <w:pPr>
        <w:pStyle w:val="Heading1"/>
      </w:pPr>
      <w:r>
        <w:t>Data handling and security</w:t>
      </w:r>
    </w:p>
    <w:p>
      <w:r>
        <w:t>SEVERITY: HIGH. Every agreement must contain a data-handling and security clause covering access controls, breach notification, and return or destruction of Meridian information on termination. An agreement with no such clause is deficient and must not be signed.</w:t>
      </w:r>
    </w:p>
    <w:p>
      <w:pPr>
        <w:pStyle w:val="Heading1"/>
      </w:pPr>
      <w:r>
        <w:t>Positions the vendor commonly gets right</w:t>
      </w:r>
    </w:p>
    <w:p>
      <w:pPr>
        <w:pStyle w:val="ListBullet"/>
      </w:pPr>
      <w:r>
        <w:t>Warranty: a services warranty of at least twelve (12) months is acceptable.</w:t>
      </w:r>
    </w:p>
    <w:p>
      <w:pPr>
        <w:pStyle w:val="ListBullet"/>
      </w:pPr>
      <w:r>
        <w:t>Governing law: Ontario and Canadian federal law is the standard and is acceptable.</w:t>
      </w:r>
    </w:p>
    <w:p>
      <w:pPr>
        <w:pStyle w:val="ListBullet"/>
      </w:pPr>
      <w:r>
        <w:t>Acceptance testing: a defined testing and acceptance window is required and acceptable.</w:t>
      </w:r>
    </w:p>
    <w:p>
      <w:pPr>
        <w:pStyle w:val="ListBullet"/>
      </w:pPr>
      <w:r>
        <w:t>Insurance: commercial general and professional indemnity cover of at least $5,000,000 is acceptable.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