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sz w:val="32"/>
          <w:szCs w:val="32"/>
        </w:rPr>
        <w:t xml:space="preserve">STATEMENT OF WORK — DRILLING &amp; ASSAY SERVICES</w:t>
      </w:r>
    </w:p>
    <w:p>
      <w:pPr>
        <w:spacing w:after="160"/>
      </w:pPr>
      <w:r>
        <w:rPr>
          <w:rFonts w:ascii="Arial" w:cs="Arial" w:eastAsia="Arial" w:hAnsi="Arial"/>
          <w:i/>
          <w:iCs/>
          <w:sz w:val="18"/>
          <w:szCs w:val="18"/>
        </w:rPr>
        <w:t xml:space="preserve">Between Meridian Gold &amp; Copper Ltd ("Client") and Northrange Drilling Services Inc. ("Contractor"). All content synthetic — training use only.</w:t>
      </w:r>
    </w:p>
    <w:p>
      <w:pPr>
        <w:pStyle w:val="Heading1"/>
        <w:spacing w:after="120" w:before="240"/>
      </w:pPr>
      <w:r>
        <w:t xml:space="preserve">1. Scope of Services</w:t>
      </w:r>
    </w:p>
    <w:p>
      <w:pPr>
        <w:spacing w:after="160"/>
      </w:pPr>
      <w:r>
        <w:rPr>
          <w:rFonts w:ascii="Arial" w:cs="Arial" w:eastAsia="Arial" w:hAnsi="Arial"/>
          <w:sz w:val="22"/>
          <w:szCs w:val="22"/>
        </w:rPr>
        <w:t xml:space="preserve">Contractor shall provide diamond drilling, reverse-circulation drilling, and assay sampling services at the Client’s Meridian East site, up to 45,000 metres per contract year. Contractor may substitute equipment and personnel at its sole discretion without notice to Client.</w:t>
      </w:r>
    </w:p>
    <w:p>
      <w:pPr>
        <w:pStyle w:val="Heading1"/>
        <w:spacing w:after="120" w:before="240"/>
      </w:pPr>
      <w:r>
        <w:t xml:space="preserve">2. Term and Payment</w:t>
      </w:r>
    </w:p>
    <w:p>
      <w:pPr>
        <w:spacing w:after="160"/>
      </w:pPr>
      <w:r>
        <w:rPr>
          <w:rFonts w:ascii="Arial" w:cs="Arial" w:eastAsia="Arial" w:hAnsi="Arial"/>
          <w:sz w:val="22"/>
          <w:szCs w:val="22"/>
        </w:rPr>
        <w:t xml:space="preserve">The term is 36 months, auto-renewing for successive 24-month periods unless Contractor is notified in writing 180 days before expiry. Invoices are payable net-90. Late payment accrues interest at 3.5% per month. Rates may be adjusted by Contractor quarterly to reflect market conditions, with no cap on any single adjustment.</w:t>
      </w:r>
    </w:p>
    <w:p>
      <w:pPr>
        <w:pStyle w:val="Heading1"/>
        <w:spacing w:after="120" w:before="240"/>
      </w:pPr>
      <w:r>
        <w:t xml:space="preserve">3. Liability and Indemnity</w:t>
      </w:r>
    </w:p>
    <w:p>
      <w:pPr>
        <w:spacing w:after="160"/>
      </w:pPr>
      <w:r>
        <w:rPr>
          <w:rFonts w:ascii="Arial" w:cs="Arial" w:eastAsia="Arial" w:hAnsi="Arial"/>
          <w:sz w:val="22"/>
          <w:szCs w:val="22"/>
        </w:rPr>
        <w:t xml:space="preserve">Client shall indemnify and hold harmless Contractor against all claims, losses, and liabilities arising from the Services, including claims arising from Contractor’s own negligence, and including all environmental incidents, spills, and ground-water contamination occurring at or near the work site, without limitation as to amount.</w:t>
      </w:r>
    </w:p>
    <w:p>
      <w:pPr>
        <w:spacing w:after="160"/>
      </w:pPr>
      <w:r>
        <w:rPr>
          <w:rFonts w:ascii="Arial" w:cs="Arial" w:eastAsia="Arial" w:hAnsi="Arial"/>
          <w:sz w:val="22"/>
          <w:szCs w:val="22"/>
        </w:rPr>
        <w:t xml:space="preserve">Contractor’s aggregate liability under this SOW shall not exceed the fees paid in the one (1) month preceding the claim.</w:t>
      </w:r>
    </w:p>
    <w:p>
      <w:pPr>
        <w:pStyle w:val="Heading1"/>
        <w:spacing w:after="120" w:before="240"/>
      </w:pPr>
      <w:r>
        <w:t xml:space="preserve">4. Data and Results</w:t>
      </w:r>
    </w:p>
    <w:p>
      <w:pPr>
        <w:spacing w:after="160"/>
      </w:pPr>
      <w:r>
        <w:rPr>
          <w:rFonts w:ascii="Arial" w:cs="Arial" w:eastAsia="Arial" w:hAnsi="Arial"/>
          <w:sz w:val="22"/>
          <w:szCs w:val="22"/>
        </w:rPr>
        <w:t xml:space="preserve">All drill-core data, assay results, and derived geological models shall be jointly owned by the parties. Contractor may use such data for its own commercial purposes, including sale of anonymized datasets to third parties.</w:t>
      </w:r>
    </w:p>
    <w:p>
      <w:pPr>
        <w:pStyle w:val="Heading1"/>
        <w:spacing w:after="120" w:before="240"/>
      </w:pPr>
      <w:r>
        <w:t xml:space="preserve">5. Termination</w:t>
      </w:r>
    </w:p>
    <w:p>
      <w:pPr>
        <w:spacing w:after="160"/>
      </w:pPr>
      <w:r>
        <w:rPr>
          <w:rFonts w:ascii="Arial" w:cs="Arial" w:eastAsia="Arial" w:hAnsi="Arial"/>
          <w:sz w:val="22"/>
          <w:szCs w:val="22"/>
        </w:rPr>
        <w:t xml:space="preserve">Client may terminate only for uncured material breach after a 120-day cure period, and shall pay an early-termination fee equal to 60% of the fees for the remainder of the then-current term. Contractor may terminate for convenience on 30 days’ notice.</w:t>
      </w:r>
    </w:p>
    <w:p>
      <w:pPr>
        <w:pStyle w:val="Heading1"/>
        <w:spacing w:after="120" w:before="240"/>
      </w:pPr>
      <w:r>
        <w:t xml:space="preserve">6. Insurance and Safety</w:t>
      </w:r>
    </w:p>
    <w:p>
      <w:pPr>
        <w:spacing w:after="160"/>
      </w:pPr>
      <w:r>
        <w:rPr>
          <w:rFonts w:ascii="Arial" w:cs="Arial" w:eastAsia="Arial" w:hAnsi="Arial"/>
          <w:sz w:val="22"/>
          <w:szCs w:val="22"/>
        </w:rPr>
        <w:t xml:space="preserve">Contractor shall maintain commercial general liability insurance of not less than $1,000,000 in aggregate. Site safety inductions are the responsibility of the Client. Contractor personnel are deemed inducted upon arrival.</w:t>
      </w:r>
    </w:p>
    <w:p>
      <w:pPr>
        <w:pStyle w:val="Heading1"/>
        <w:spacing w:after="120" w:before="240"/>
      </w:pPr>
      <w:r>
        <w:t xml:space="preserve">7. Governing Law</w:t>
      </w:r>
    </w:p>
    <w:p>
      <w:pPr>
        <w:spacing w:after="160"/>
      </w:pPr>
      <w:r>
        <w:rPr>
          <w:rFonts w:ascii="Arial" w:cs="Arial" w:eastAsia="Arial" w:hAnsi="Arial"/>
          <w:sz w:val="22"/>
          <w:szCs w:val="22"/>
        </w:rPr>
        <w:t xml:space="preserve">This SOW is governed by the laws of the jurisdiction of Contractor’s incorporation. Disputes shall be resolved by binding arbitration seated at a location of Contractor’s choosing, each party bearing Contractor’s costs.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2026-07-22T13:35:37.857Z</dcterms:created>
  <dcterms:modified xsi:type="dcterms:W3CDTF">2026-07-22T13:35:37.868Z</dcterms:modified>
</cp:coreProperties>
</file>

<file path=docProps/custom.xml><?xml version="1.0" encoding="utf-8"?>
<Properties xmlns="http://schemas.openxmlformats.org/officeDocument/2006/custom-properties" xmlns:vt="http://schemas.openxmlformats.org/officeDocument/2006/docPropsVTypes"/>
</file>