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MERIDIAN CONTRACT REVIEW STANDARD — SERVICES AGREEMENTS</w:t>
      </w:r>
    </w:p>
    <w:p>
      <w:pPr>
        <w:spacing w:after="1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House positions for review of supplier SOWs and services contracts. Deviations must be flagged by severity (High / Medium / Low) and cited to the clause. All content synthetic — training use only.</w:t>
      </w:r>
    </w:p>
    <w:p>
      <w:pPr>
        <w:pStyle w:val="Heading1"/>
        <w:spacing w:after="120" w:before="240"/>
      </w:pPr>
      <w:r>
        <w:t xml:space="preserve">Payment and Commercial Terms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Payment terms: net-45 maximum. Net-60+ requires CFO approval.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Late-payment interest: 1% per month maximum.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Rate adjustments: annual only, capped at CPI + 2%, with 60 days’ notice.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Auto-renewal: not accepted. Renewals require affirmative written agreement.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Early-termination fees: capped at 3 months of average fees. Client must retain termination-for-convenience on 60 days’ notice or less.</w:t>
      </w:r>
    </w:p>
    <w:p>
      <w:pPr>
        <w:pStyle w:val="Heading1"/>
        <w:spacing w:after="120" w:before="240"/>
      </w:pPr>
      <w:r>
        <w:t xml:space="preserve">Liability and Indemnity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Mutual indemnities only. Client never indemnifies a contractor for the contractor’s own negligence — automatic High flag.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Environmental liability rests with the party causing the incident. Any shift of environmental liability to Meridian is a High flag.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Contractor liability cap: no lower than 12 months of fees. Caps of 6 months or less are a High flag.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No unlimited Client indemnities of any kind.</w:t>
      </w:r>
    </w:p>
    <w:p>
      <w:pPr>
        <w:pStyle w:val="Heading1"/>
        <w:spacing w:after="120" w:before="240"/>
      </w:pPr>
      <w:r>
        <w:t xml:space="preserve">Data, IP, and Confidentiality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geological data, assay results, and derived models are exclusively Meridian property. Joint ownership is a High flag.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No supplier commercial use or resale of Meridian data in any form, anonymized or otherwise.</w:t>
      </w:r>
    </w:p>
    <w:p>
      <w:pPr>
        <w:pStyle w:val="Heading1"/>
        <w:spacing w:after="120" w:before="240"/>
      </w:pPr>
      <w:r>
        <w:t xml:space="preserve">Insurance, Safety, and Operations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CGL insurance: $10,000,000 minimum per occurrence for site services.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contractor personnel complete Meridian site safety induction before mobilization — no deemed inductions.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Equipment or key-personnel substitutions require prior written Client consent.</w:t>
      </w:r>
    </w:p>
    <w:p>
      <w:pPr>
        <w:pStyle w:val="Heading1"/>
        <w:spacing w:after="120" w:before="240"/>
      </w:pPr>
      <w:r>
        <w:t xml:space="preserve">Governing Law and Disputes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Governing law: Client’s home jurisdiction, or neutral seat by exception.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Arbitration: neutral seat, costs follow the event. One-sided cost provisions are a Medium flag.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2026-07-22T13:35:37.880Z</dcterms:created>
  <dcterms:modified xsi:type="dcterms:W3CDTF">2026-07-22T13:35:37.880Z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