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26"/>
      </w:tblGrid>
      <w:tr w:rsidR="0077389B" w14:paraId="3B01306D" w14:textId="77777777" w:rsidTr="0077389B">
        <w:trPr>
          <w:tblCellSpacing w:w="0" w:type="dxa"/>
          <w:jc w:val="center"/>
        </w:trPr>
        <w:tc>
          <w:tcPr>
            <w:tcW w:w="5000" w:type="pct"/>
            <w:shd w:val="clear" w:color="auto" w:fill="FFFFFF"/>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5F4479CF"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07263E57"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28DC2142" w14:textId="77777777">
                          <w:trPr>
                            <w:tblCellSpacing w:w="0" w:type="dxa"/>
                          </w:trPr>
                          <w:tc>
                            <w:tcPr>
                              <w:tcW w:w="0" w:type="auto"/>
                              <w:shd w:val="clear" w:color="auto" w:fill="FFFFFF"/>
                              <w:tcMar>
                                <w:top w:w="0" w:type="dxa"/>
                                <w:left w:w="75" w:type="dxa"/>
                                <w:bottom w:w="225" w:type="dxa"/>
                                <w:right w:w="75" w:type="dxa"/>
                              </w:tcMar>
                              <w:hideMark/>
                            </w:tcPr>
                            <w:p w14:paraId="5251D819" w14:textId="77777777" w:rsidR="0077389B" w:rsidRDefault="0077389B"/>
                          </w:tc>
                        </w:tr>
                      </w:tbl>
                      <w:p w14:paraId="1FF4A337" w14:textId="77777777" w:rsidR="0077389B" w:rsidRDefault="0077389B">
                        <w:pPr>
                          <w:rPr>
                            <w:rFonts w:ascii="Times New Roman" w:eastAsia="Times New Roman" w:hAnsi="Times New Roman" w:cs="Times New Roman"/>
                            <w:sz w:val="20"/>
                            <w:szCs w:val="20"/>
                          </w:rPr>
                        </w:pPr>
                      </w:p>
                    </w:tc>
                  </w:tr>
                </w:tbl>
                <w:p w14:paraId="61323C69" w14:textId="77777777" w:rsidR="0077389B" w:rsidRDefault="0077389B">
                  <w:pPr>
                    <w:rPr>
                      <w:rFonts w:ascii="Times New Roman" w:eastAsia="Times New Roman" w:hAnsi="Times New Roman" w:cs="Times New Roman"/>
                      <w:sz w:val="20"/>
                      <w:szCs w:val="20"/>
                    </w:rPr>
                  </w:pPr>
                </w:p>
              </w:tc>
            </w:tr>
          </w:tbl>
          <w:p w14:paraId="6101E917" w14:textId="77777777" w:rsidR="0077389B" w:rsidRDefault="0077389B">
            <w:pPr>
              <w:spacing w:line="252" w:lineRule="auto"/>
              <w:rPr>
                <w:rFonts w:ascii="Arial" w:hAnsi="Arial" w:cs="Arial"/>
                <w:color w:val="444444"/>
                <w:sz w:val="18"/>
                <w:szCs w:val="18"/>
                <w14:ligatures w14:val="standardContextual"/>
              </w:rPr>
            </w:pPr>
          </w:p>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5C1A3F26"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62BA779E" w14:textId="77777777">
                    <w:trPr>
                      <w:tblCellSpacing w:w="0" w:type="dxa"/>
                    </w:trPr>
                    <w:tc>
                      <w:tcPr>
                        <w:tcW w:w="0" w:type="auto"/>
                        <w:vAlign w:val="center"/>
                        <w:hideMark/>
                      </w:tcPr>
                      <w:tbl>
                        <w:tblPr>
                          <w:tblW w:w="9000" w:type="dxa"/>
                          <w:tblCellMar>
                            <w:left w:w="0" w:type="dxa"/>
                            <w:right w:w="0" w:type="dxa"/>
                          </w:tblCellMar>
                          <w:tblLook w:val="04A0" w:firstRow="1" w:lastRow="0" w:firstColumn="1" w:lastColumn="0" w:noHBand="0" w:noVBand="1"/>
                        </w:tblPr>
                        <w:tblGrid>
                          <w:gridCol w:w="4260"/>
                          <w:gridCol w:w="4740"/>
                        </w:tblGrid>
                        <w:tr w:rsidR="0077389B" w14:paraId="24D00AF9" w14:textId="77777777">
                          <w:tc>
                            <w:tcPr>
                              <w:tcW w:w="2000" w:type="pct"/>
                              <w:hideMark/>
                            </w:tcPr>
                            <w:tbl>
                              <w:tblPr>
                                <w:tblW w:w="0" w:type="auto"/>
                                <w:tblCellMar>
                                  <w:left w:w="0" w:type="dxa"/>
                                  <w:right w:w="0" w:type="dxa"/>
                                </w:tblCellMar>
                                <w:tblLook w:val="04A0" w:firstRow="1" w:lastRow="0" w:firstColumn="1" w:lastColumn="0" w:noHBand="0" w:noVBand="1"/>
                              </w:tblPr>
                              <w:tblGrid>
                                <w:gridCol w:w="4260"/>
                              </w:tblGrid>
                              <w:tr w:rsidR="0077389B" w14:paraId="4A8FA600" w14:textId="77777777">
                                <w:tc>
                                  <w:tcPr>
                                    <w:tcW w:w="0" w:type="auto"/>
                                    <w:tcMar>
                                      <w:top w:w="150" w:type="dxa"/>
                                      <w:left w:w="0" w:type="dxa"/>
                                      <w:bottom w:w="540" w:type="dxa"/>
                                      <w:right w:w="0" w:type="dxa"/>
                                    </w:tcMar>
                                    <w:vAlign w:val="center"/>
                                    <w:hideMark/>
                                  </w:tcPr>
                                  <w:p w14:paraId="215810F7" w14:textId="3C9BCB78" w:rsidR="0077389B" w:rsidRDefault="0077389B">
                                    <w:pPr>
                                      <w:spacing w:line="252" w:lineRule="auto"/>
                                      <w:rPr>
                                        <w:rFonts w:ascii="Arial" w:hAnsi="Arial" w:cs="Arial"/>
                                        <w:color w:val="444444"/>
                                        <w:sz w:val="18"/>
                                        <w:szCs w:val="18"/>
                                        <w14:ligatures w14:val="standardContextual"/>
                                      </w:rPr>
                                    </w:pPr>
                                    <w:r>
                                      <w:rPr>
                                        <w:rFonts w:ascii="Arial" w:hAnsi="Arial" w:cs="Arial"/>
                                        <w:noProof/>
                                        <w:color w:val="444444"/>
                                        <w:sz w:val="18"/>
                                        <w:szCs w:val="18"/>
                                      </w:rPr>
                                      <w:drawing>
                                        <wp:inline distT="0" distB="0" distL="0" distR="0" wp14:anchorId="54683737" wp14:editId="5A990D30">
                                          <wp:extent cx="2702560" cy="231775"/>
                                          <wp:effectExtent l="0" t="0" r="2540" b="15875"/>
                                          <wp:docPr id="2119310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702560" cy="231775"/>
                                                  </a:xfrm>
                                                  <a:prstGeom prst="rect">
                                                    <a:avLst/>
                                                  </a:prstGeom>
                                                  <a:noFill/>
                                                  <a:ln>
                                                    <a:noFill/>
                                                  </a:ln>
                                                </pic:spPr>
                                              </pic:pic>
                                            </a:graphicData>
                                          </a:graphic>
                                        </wp:inline>
                                      </w:drawing>
                                    </w:r>
                                  </w:p>
                                </w:tc>
                              </w:tr>
                            </w:tbl>
                            <w:p w14:paraId="03E038C7" w14:textId="77777777" w:rsidR="0077389B" w:rsidRDefault="0077389B">
                              <w:pPr>
                                <w:rPr>
                                  <w:rFonts w:ascii="Times New Roman" w:eastAsia="Times New Roman" w:hAnsi="Times New Roman" w:cs="Times New Roman"/>
                                  <w:sz w:val="20"/>
                                  <w:szCs w:val="20"/>
                                </w:rPr>
                              </w:pPr>
                            </w:p>
                          </w:tc>
                          <w:tc>
                            <w:tcPr>
                              <w:tcW w:w="3000" w:type="pct"/>
                              <w:hideMark/>
                            </w:tcPr>
                            <w:p w14:paraId="4BEED78D" w14:textId="38F354FC" w:rsidR="0077389B" w:rsidRDefault="0077389B">
                              <w:pPr>
                                <w:spacing w:line="252" w:lineRule="auto"/>
                                <w:jc w:val="right"/>
                                <w:rPr>
                                  <w:rFonts w:ascii="Arial" w:hAnsi="Arial" w:cs="Arial"/>
                                  <w:color w:val="444444"/>
                                  <w:sz w:val="18"/>
                                  <w:szCs w:val="18"/>
                                  <w14:ligatures w14:val="standardContextual"/>
                                </w:rPr>
                              </w:pPr>
                              <w:r>
                                <w:rPr>
                                  <w:rFonts w:ascii="Arial" w:hAnsi="Arial" w:cs="Arial"/>
                                  <w:noProof/>
                                  <w:color w:val="444444"/>
                                  <w:sz w:val="18"/>
                                  <w:szCs w:val="18"/>
                                </w:rPr>
                                <w:drawing>
                                  <wp:inline distT="0" distB="0" distL="0" distR="0" wp14:anchorId="3D1B106C" wp14:editId="6C55F70B">
                                    <wp:extent cx="2988945" cy="477520"/>
                                    <wp:effectExtent l="0" t="0" r="1905" b="17780"/>
                                    <wp:docPr id="596828327" name="Picture 1" descr="A blue and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circle&#10;&#10;Description automatically generate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988945" cy="477520"/>
                                            </a:xfrm>
                                            <a:prstGeom prst="rect">
                                              <a:avLst/>
                                            </a:prstGeom>
                                            <a:noFill/>
                                            <a:ln>
                                              <a:noFill/>
                                            </a:ln>
                                          </pic:spPr>
                                        </pic:pic>
                                      </a:graphicData>
                                    </a:graphic>
                                  </wp:inline>
                                </w:drawing>
                              </w:r>
                            </w:p>
                          </w:tc>
                        </w:tr>
                      </w:tbl>
                      <w:p w14:paraId="5C41C8A0" w14:textId="77777777" w:rsidR="0077389B" w:rsidRDefault="0077389B">
                        <w:pPr>
                          <w:rPr>
                            <w:rFonts w:ascii="Times New Roman" w:eastAsia="Times New Roman" w:hAnsi="Times New Roman" w:cs="Times New Roman"/>
                            <w:sz w:val="20"/>
                            <w:szCs w:val="20"/>
                          </w:rPr>
                        </w:pPr>
                      </w:p>
                    </w:tc>
                  </w:tr>
                </w:tbl>
                <w:p w14:paraId="268BCBE8" w14:textId="77777777" w:rsidR="0077389B" w:rsidRDefault="0077389B">
                  <w:pPr>
                    <w:rPr>
                      <w:rFonts w:ascii="Times New Roman" w:eastAsia="Times New Roman" w:hAnsi="Times New Roman" w:cs="Times New Roman"/>
                      <w:sz w:val="20"/>
                      <w:szCs w:val="20"/>
                    </w:rPr>
                  </w:pPr>
                </w:p>
              </w:tc>
            </w:tr>
          </w:tbl>
          <w:p w14:paraId="75F573A9" w14:textId="77777777" w:rsidR="0077389B" w:rsidRDefault="0077389B">
            <w:pPr>
              <w:spacing w:line="252" w:lineRule="auto"/>
              <w:rPr>
                <w:rFonts w:ascii="Arial" w:hAnsi="Arial" w:cs="Arial"/>
                <w:color w:val="444444"/>
                <w:sz w:val="18"/>
                <w:szCs w:val="18"/>
                <w14:ligatures w14:val="standardContextual"/>
              </w:rPr>
            </w:pPr>
          </w:p>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5D0F4A95"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4F79083A"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48C0F42C" w14:textId="77777777">
                          <w:trPr>
                            <w:tblCellSpacing w:w="0" w:type="dxa"/>
                          </w:trPr>
                          <w:tc>
                            <w:tcPr>
                              <w:tcW w:w="0" w:type="auto"/>
                              <w:vAlign w:val="center"/>
                              <w:hideMark/>
                            </w:tcPr>
                            <w:p w14:paraId="646318F2" w14:textId="77777777" w:rsidR="0077389B" w:rsidRDefault="0077389B">
                              <w:pPr>
                                <w:spacing w:line="252" w:lineRule="auto"/>
                                <w:rPr>
                                  <w:rFonts w:ascii="Arial" w:hAnsi="Arial" w:cs="Arial"/>
                                  <w:b/>
                                  <w:bCs/>
                                  <w:color w:val="0460A9"/>
                                  <w:sz w:val="24"/>
                                  <w:szCs w:val="24"/>
                                  <w14:ligatures w14:val="standardContextual"/>
                                </w:rPr>
                              </w:pPr>
                              <w:r>
                                <w:rPr>
                                  <w:rFonts w:ascii="Arial" w:hAnsi="Arial" w:cs="Arial"/>
                                  <w:b/>
                                  <w:bCs/>
                                  <w:color w:val="0460A9"/>
                                  <w:sz w:val="24"/>
                                  <w:szCs w:val="24"/>
                                  <w14:ligatures w14:val="standardContextual"/>
                                </w:rPr>
                                <w:t>Clinical Data Operations</w:t>
                              </w:r>
                            </w:p>
                          </w:tc>
                        </w:tr>
                        <w:tr w:rsidR="0077389B" w14:paraId="76B6CE04" w14:textId="77777777">
                          <w:trPr>
                            <w:tblCellSpacing w:w="0" w:type="dxa"/>
                          </w:trPr>
                          <w:tc>
                            <w:tcPr>
                              <w:tcW w:w="0" w:type="auto"/>
                              <w:tcMar>
                                <w:top w:w="225" w:type="dxa"/>
                                <w:left w:w="0" w:type="dxa"/>
                                <w:bottom w:w="225" w:type="dxa"/>
                                <w:right w:w="0" w:type="dxa"/>
                              </w:tcMar>
                              <w:vAlign w:val="center"/>
                              <w:hideMark/>
                            </w:tcPr>
                            <w:p w14:paraId="2D642A48" w14:textId="77777777" w:rsidR="0077389B" w:rsidRDefault="0077389B">
                              <w:pPr>
                                <w:spacing w:line="252" w:lineRule="auto"/>
                                <w:rPr>
                                  <w:rFonts w:ascii="Arial" w:hAnsi="Arial" w:cs="Arial"/>
                                  <w:b/>
                                  <w:bCs/>
                                  <w:color w:val="012068"/>
                                  <w:sz w:val="39"/>
                                  <w:szCs w:val="39"/>
                                  <w14:ligatures w14:val="standardContextual"/>
                                </w:rPr>
                              </w:pPr>
                              <w:r>
                                <w:rPr>
                                  <w:rFonts w:ascii="Arial" w:hAnsi="Arial" w:cs="Arial"/>
                                  <w:b/>
                                  <w:bCs/>
                                  <w:color w:val="012068"/>
                                  <w:sz w:val="39"/>
                                  <w:szCs w:val="39"/>
                                  <w14:ligatures w14:val="standardContextual"/>
                                </w:rPr>
                                <w:t>Organizational Announcement</w:t>
                              </w:r>
                            </w:p>
                          </w:tc>
                        </w:tr>
                      </w:tbl>
                      <w:p w14:paraId="5E0A62B1" w14:textId="77777777" w:rsidR="0077389B" w:rsidRDefault="0077389B">
                        <w:pPr>
                          <w:rPr>
                            <w:rFonts w:ascii="Times New Roman" w:eastAsia="Times New Roman" w:hAnsi="Times New Roman" w:cs="Times New Roman"/>
                            <w:sz w:val="20"/>
                            <w:szCs w:val="20"/>
                          </w:rPr>
                        </w:pPr>
                      </w:p>
                    </w:tc>
                  </w:tr>
                </w:tbl>
                <w:p w14:paraId="713D706F" w14:textId="77777777" w:rsidR="0077389B" w:rsidRDefault="0077389B">
                  <w:pPr>
                    <w:rPr>
                      <w:rFonts w:ascii="Times New Roman" w:eastAsia="Times New Roman" w:hAnsi="Times New Roman" w:cs="Times New Roman"/>
                      <w:sz w:val="20"/>
                      <w:szCs w:val="20"/>
                    </w:rPr>
                  </w:pPr>
                </w:p>
              </w:tc>
            </w:tr>
          </w:tbl>
          <w:p w14:paraId="2EAD2480" w14:textId="77777777" w:rsidR="0077389B" w:rsidRDefault="0077389B">
            <w:pPr>
              <w:spacing w:line="252" w:lineRule="auto"/>
              <w:rPr>
                <w:rFonts w:ascii="Arial" w:hAnsi="Arial" w:cs="Arial"/>
                <w:color w:val="444444"/>
                <w:sz w:val="18"/>
                <w:szCs w:val="18"/>
                <w14:ligatures w14:val="standardContextual"/>
              </w:rPr>
            </w:pPr>
          </w:p>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0D379203" w14:textId="77777777">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77389B" w14:paraId="67429E5C" w14:textId="77777777">
                    <w:trPr>
                      <w:tblCellSpacing w:w="0" w:type="dxa"/>
                    </w:trPr>
                    <w:tc>
                      <w:tcPr>
                        <w:tcW w:w="0" w:type="auto"/>
                        <w:shd w:val="clear" w:color="auto" w:fill="FFFFFF"/>
                        <w:tcMar>
                          <w:top w:w="150" w:type="dxa"/>
                          <w:left w:w="0" w:type="dxa"/>
                          <w:bottom w:w="150" w:type="dxa"/>
                          <w:right w:w="150" w:type="dxa"/>
                        </w:tcMar>
                        <w:vAlign w:val="center"/>
                      </w:tcPr>
                      <w:p w14:paraId="435E0B55" w14:textId="77777777" w:rsidR="0077389B" w:rsidRDefault="0077389B">
                        <w:pPr>
                          <w:spacing w:before="100" w:beforeAutospacing="1" w:after="100" w:afterAutospacing="1" w:line="252" w:lineRule="auto"/>
                          <w:rPr>
                            <w:rFonts w:ascii="Arial" w:hAnsi="Arial" w:cs="Arial"/>
                            <w:color w:val="1F497D"/>
                            <w14:ligatures w14:val="standardContextual"/>
                          </w:rPr>
                        </w:pPr>
                        <w:r>
                          <w:rPr>
                            <w:rFonts w:ascii="Arial" w:hAnsi="Arial" w:cs="Arial"/>
                            <w:color w:val="444444"/>
                            <w14:ligatures w14:val="standardContextual"/>
                          </w:rPr>
                          <w:t>Dear Colleagues,</w:t>
                        </w:r>
                      </w:p>
                      <w:p w14:paraId="09E584A3" w14:textId="77777777" w:rsidR="0077389B" w:rsidRDefault="0077389B">
                        <w:pPr>
                          <w:spacing w:before="100" w:beforeAutospacing="1" w:after="100" w:afterAutospacing="1" w:line="252" w:lineRule="auto"/>
                          <w:rPr>
                            <w:rFonts w:ascii="Arial" w:hAnsi="Arial" w:cs="Arial"/>
                            <w:color w:val="1F497D"/>
                            <w14:ligatures w14:val="standardContextual"/>
                          </w:rPr>
                        </w:pPr>
                        <w:r>
                          <w:rPr>
                            <w:rFonts w:ascii="Arial" w:hAnsi="Arial" w:cs="Arial"/>
                            <w:color w:val="444444"/>
                            <w14:ligatures w14:val="standardContextual"/>
                          </w:rPr>
                          <w:t xml:space="preserve">It is with mixed feelings that I announce that </w:t>
                        </w:r>
                        <w:r>
                          <w:rPr>
                            <w:rFonts w:ascii="Arial" w:hAnsi="Arial" w:cs="Arial"/>
                            <w:b/>
                            <w:bCs/>
                            <w:color w:val="444444"/>
                            <w14:ligatures w14:val="standardContextual"/>
                          </w:rPr>
                          <w:t>Guillaume Breton</w:t>
                        </w:r>
                        <w:r>
                          <w:rPr>
                            <w:rFonts w:ascii="Arial" w:hAnsi="Arial" w:cs="Arial"/>
                            <w:color w:val="444444"/>
                            <w14:ligatures w14:val="standardContextual"/>
                          </w:rPr>
                          <w:t>, our esteemed Head Statistical Programming, has made the decision to leave Novartis in order to pursue an exciting opportunity with another company. During his 22 years with our organization, Guillaume has made significant contributions in various roles. We would like to express our gratitude to Guillaume for his exceptional leadership and dedication, which have played a vital role in shaping our organization and leaving behind a strong legacy.</w:t>
                        </w:r>
                      </w:p>
                      <w:p w14:paraId="451E2300" w14:textId="77777777" w:rsidR="0077389B" w:rsidRDefault="0077389B">
                        <w:pPr>
                          <w:spacing w:before="100" w:beforeAutospacing="1" w:after="100" w:afterAutospacing="1" w:line="252" w:lineRule="auto"/>
                          <w:rPr>
                            <w:rFonts w:ascii="Arial" w:hAnsi="Arial" w:cs="Arial"/>
                            <w:color w:val="1F497D"/>
                            <w14:ligatures w14:val="standardContextual"/>
                          </w:rPr>
                        </w:pPr>
                        <w:r>
                          <w:rPr>
                            <w:rFonts w:ascii="Arial" w:hAnsi="Arial" w:cs="Arial"/>
                            <w:color w:val="444444"/>
                            <w14:ligatures w14:val="standardContextual"/>
                          </w:rPr>
                          <w:t xml:space="preserve">We are pleased to announce the appointment of </w:t>
                        </w:r>
                        <w:r>
                          <w:rPr>
                            <w:rFonts w:ascii="Arial" w:hAnsi="Arial" w:cs="Arial"/>
                            <w:b/>
                            <w:bCs/>
                            <w:color w:val="444444"/>
                            <w14:ligatures w14:val="standardContextual"/>
                          </w:rPr>
                          <w:t xml:space="preserve">Raj Sinha </w:t>
                        </w:r>
                        <w:r>
                          <w:rPr>
                            <w:rFonts w:ascii="Arial" w:hAnsi="Arial" w:cs="Arial"/>
                            <w:color w:val="444444"/>
                            <w14:ligatures w14:val="standardContextual"/>
                          </w:rPr>
                          <w:t xml:space="preserve">as ad-interim Head Statistical Programming effective February 1, 2024. Raj joined Novartis in August 2023 and is currently Head Clinical Data Strategy. Raj will continue to play both the roles of Head Clinical Data Strategy and ad-interim Head SP, while we conclude on the search for Guillaume’s successor. He will continue to be based in US. </w:t>
                        </w:r>
                      </w:p>
                      <w:p w14:paraId="3031A346" w14:textId="77777777" w:rsidR="0077389B" w:rsidRDefault="0077389B">
                        <w:pPr>
                          <w:spacing w:before="100" w:beforeAutospacing="1" w:after="100" w:afterAutospacing="1" w:line="252" w:lineRule="auto"/>
                          <w:rPr>
                            <w:rFonts w:ascii="Arial" w:hAnsi="Arial" w:cs="Arial"/>
                            <w:color w:val="1F497D"/>
                            <w14:ligatures w14:val="standardContextual"/>
                          </w:rPr>
                        </w:pPr>
                        <w:r>
                          <w:rPr>
                            <w:rFonts w:ascii="Arial" w:hAnsi="Arial" w:cs="Arial"/>
                            <w:color w:val="444444"/>
                            <w14:ligatures w14:val="standardContextual"/>
                          </w:rPr>
                          <w:t>We would like to take this opportunity to extend our best wishes to Guillaume for all his future endeavors. We appreciate his significant contributions to Novartis over the last 22 years and wish him great success in his new venture.</w:t>
                        </w:r>
                      </w:p>
                      <w:p w14:paraId="7B5179F6" w14:textId="77777777" w:rsidR="0077389B" w:rsidRDefault="0077389B">
                        <w:pPr>
                          <w:spacing w:before="100" w:beforeAutospacing="1" w:after="100" w:afterAutospacing="1" w:line="252" w:lineRule="auto"/>
                          <w:rPr>
                            <w:rFonts w:ascii="Arial" w:hAnsi="Arial" w:cs="Arial"/>
                            <w:color w:val="1F497D"/>
                            <w14:ligatures w14:val="standardContextual"/>
                          </w:rPr>
                        </w:pPr>
                        <w:r>
                          <w:rPr>
                            <w:rFonts w:ascii="Arial" w:hAnsi="Arial" w:cs="Arial"/>
                            <w:color w:val="444444"/>
                            <w14:ligatures w14:val="standardContextual"/>
                          </w:rPr>
                          <w:t xml:space="preserve">Please join us in wishing </w:t>
                        </w:r>
                        <w:r>
                          <w:rPr>
                            <w:rFonts w:ascii="Arial" w:hAnsi="Arial" w:cs="Arial"/>
                            <w:b/>
                            <w:bCs/>
                            <w:color w:val="444444"/>
                            <w14:ligatures w14:val="standardContextual"/>
                          </w:rPr>
                          <w:t xml:space="preserve">Guillaume </w:t>
                        </w:r>
                        <w:r>
                          <w:rPr>
                            <w:rFonts w:ascii="Arial" w:hAnsi="Arial" w:cs="Arial"/>
                            <w:color w:val="444444"/>
                            <w14:ligatures w14:val="standardContextual"/>
                          </w:rPr>
                          <w:t xml:space="preserve">success in the future and our deepest gratitude for </w:t>
                        </w:r>
                        <w:r>
                          <w:rPr>
                            <w:rFonts w:ascii="Arial" w:hAnsi="Arial" w:cs="Arial"/>
                            <w:b/>
                            <w:bCs/>
                            <w:color w:val="444444"/>
                            <w14:ligatures w14:val="standardContextual"/>
                          </w:rPr>
                          <w:t>Raj</w:t>
                        </w:r>
                        <w:r>
                          <w:rPr>
                            <w:rFonts w:ascii="Arial" w:hAnsi="Arial" w:cs="Arial"/>
                            <w:color w:val="444444"/>
                            <w14:ligatures w14:val="standardContextual"/>
                          </w:rPr>
                          <w:t xml:space="preserve">’s willingness to take up the ad-interim role. </w:t>
                        </w:r>
                      </w:p>
                      <w:p w14:paraId="7FC0C1C8" w14:textId="77777777" w:rsidR="0077389B" w:rsidRDefault="0077389B">
                        <w:pPr>
                          <w:spacing w:before="100" w:beforeAutospacing="1" w:after="100" w:afterAutospacing="1" w:line="252" w:lineRule="auto"/>
                          <w:rPr>
                            <w:rFonts w:ascii="Arial" w:hAnsi="Arial" w:cs="Arial"/>
                            <w:color w:val="444444"/>
                            <w14:ligatures w14:val="standardContextual"/>
                          </w:rPr>
                        </w:pPr>
                        <w:r>
                          <w:rPr>
                            <w:rFonts w:ascii="Arial" w:hAnsi="Arial" w:cs="Arial"/>
                            <w:color w:val="444444"/>
                            <w14:ligatures w14:val="standardContextual"/>
                          </w:rPr>
                          <w:t>Best Regards,</w:t>
                        </w:r>
                      </w:p>
                      <w:p w14:paraId="20D719C2" w14:textId="77777777" w:rsidR="0077389B" w:rsidRDefault="0077389B">
                        <w:pPr>
                          <w:spacing w:before="100" w:beforeAutospacing="1" w:after="100" w:afterAutospacing="1" w:line="252" w:lineRule="auto"/>
                          <w:rPr>
                            <w:rFonts w:ascii="Arial" w:hAnsi="Arial" w:cs="Arial"/>
                            <w:color w:val="1F497D"/>
                            <w14:ligatures w14:val="standardContextual"/>
                          </w:rPr>
                        </w:pPr>
                        <w:r>
                          <w:rPr>
                            <w:rFonts w:ascii="Arial" w:hAnsi="Arial" w:cs="Arial"/>
                            <w:color w:val="444444"/>
                            <w14:ligatures w14:val="standardContextual"/>
                          </w:rPr>
                          <w:t>Jagadeesh Rudraswamymath</w:t>
                        </w:r>
                      </w:p>
                      <w:p w14:paraId="7703E3F1" w14:textId="77777777" w:rsidR="0077389B" w:rsidRDefault="0077389B">
                        <w:pPr>
                          <w:spacing w:before="100" w:beforeAutospacing="1" w:after="100" w:afterAutospacing="1" w:line="252" w:lineRule="auto"/>
                          <w:rPr>
                            <w:rFonts w:ascii="Arial" w:hAnsi="Arial" w:cs="Arial"/>
                            <w:color w:val="1F497D"/>
                            <w:sz w:val="24"/>
                            <w:szCs w:val="24"/>
                            <w14:ligatures w14:val="standardContextual"/>
                          </w:rPr>
                        </w:pPr>
                        <w:r>
                          <w:rPr>
                            <w:rFonts w:ascii="Arial" w:hAnsi="Arial" w:cs="Arial"/>
                            <w:color w:val="000000"/>
                            <w14:ligatures w14:val="standardContextual"/>
                          </w:rPr>
                          <w:t>Global Head, Clinical Data Operations</w:t>
                        </w:r>
                      </w:p>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77389B" w14:paraId="4E6C2570" w14:textId="77777777">
                          <w:trPr>
                            <w:tblCellSpacing w:w="0" w:type="dxa"/>
                            <w:jc w:val="center"/>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77389B" w14:paraId="0806E3E9"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77389B" w14:paraId="718F3D7B" w14:textId="77777777">
                                      <w:trPr>
                                        <w:tblCellSpacing w:w="0" w:type="dxa"/>
                                      </w:trPr>
                                      <w:tc>
                                        <w:tcPr>
                                          <w:tcW w:w="0" w:type="auto"/>
                                          <w:shd w:val="clear" w:color="auto" w:fill="0460A9"/>
                                          <w:tcMar>
                                            <w:top w:w="150" w:type="dxa"/>
                                            <w:left w:w="225" w:type="dxa"/>
                                            <w:bottom w:w="150" w:type="dxa"/>
                                            <w:right w:w="225" w:type="dxa"/>
                                          </w:tcMar>
                                          <w:vAlign w:val="center"/>
                                          <w:hideMark/>
                                        </w:tcPr>
                                        <w:p w14:paraId="6B4C84CB" w14:textId="77777777" w:rsidR="0077389B" w:rsidRDefault="0077389B">
                                          <w:pPr>
                                            <w:spacing w:before="100" w:beforeAutospacing="1" w:after="100" w:afterAutospacing="1"/>
                                            <w:rPr>
                                              <w:rFonts w:ascii="Arial" w:hAnsi="Arial" w:cs="Arial"/>
                                              <w:color w:val="FFFFFF"/>
                                              <w:sz w:val="18"/>
                                              <w:szCs w:val="18"/>
                                            </w:rPr>
                                          </w:pPr>
                                          <w:r>
                                            <w:rPr>
                                              <w:rFonts w:ascii="Arial" w:hAnsi="Arial" w:cs="Arial"/>
                                              <w:i/>
                                              <w:iCs/>
                                              <w:color w:val="FFFFFF"/>
                                              <w:sz w:val="18"/>
                                              <w:szCs w:val="18"/>
                                            </w:rPr>
                                            <w:t xml:space="preserve">If applicable: For internal use only and not to be shown, distributed or disseminated outside of Novartis. </w:t>
                                          </w:r>
                                        </w:p>
                                      </w:tc>
                                    </w:tr>
                                  </w:tbl>
                                  <w:p w14:paraId="1F367A84" w14:textId="77777777" w:rsidR="0077389B" w:rsidRDefault="0077389B">
                                    <w:pPr>
                                      <w:rPr>
                                        <w:rFonts w:ascii="Times New Roman" w:eastAsia="Times New Roman" w:hAnsi="Times New Roman" w:cs="Times New Roman"/>
                                        <w:sz w:val="20"/>
                                        <w:szCs w:val="20"/>
                                      </w:rPr>
                                    </w:pPr>
                                  </w:p>
                                </w:tc>
                              </w:tr>
                            </w:tbl>
                            <w:p w14:paraId="0B621FD7" w14:textId="77777777" w:rsidR="0077389B" w:rsidRDefault="0077389B">
                              <w:pPr>
                                <w:rPr>
                                  <w:rFonts w:ascii="Times New Roman" w:eastAsia="Times New Roman" w:hAnsi="Times New Roman" w:cs="Times New Roman"/>
                                  <w:sz w:val="20"/>
                                  <w:szCs w:val="20"/>
                                </w:rPr>
                              </w:pPr>
                            </w:p>
                          </w:tc>
                        </w:tr>
                      </w:tbl>
                      <w:p w14:paraId="25E52B95" w14:textId="77777777" w:rsidR="0077389B" w:rsidRDefault="0077389B">
                        <w:pPr>
                          <w:shd w:val="clear" w:color="auto" w:fill="FFFFFF"/>
                          <w:rPr>
                            <w:vanish/>
                          </w:rPr>
                        </w:pPr>
                      </w:p>
                      <w:tbl>
                        <w:tblPr>
                          <w:tblW w:w="5000" w:type="pct"/>
                          <w:jc w:val="center"/>
                          <w:tblCellSpacing w:w="22" w:type="dxa"/>
                          <w:shd w:val="clear" w:color="auto" w:fill="FFFFFF"/>
                          <w:tblCellMar>
                            <w:left w:w="0" w:type="dxa"/>
                            <w:right w:w="0" w:type="dxa"/>
                          </w:tblCellMar>
                          <w:tblLook w:val="04A0" w:firstRow="1" w:lastRow="0" w:firstColumn="1" w:lastColumn="0" w:noHBand="0" w:noVBand="1"/>
                        </w:tblPr>
                        <w:tblGrid>
                          <w:gridCol w:w="8876"/>
                        </w:tblGrid>
                        <w:tr w:rsidR="0077389B" w14:paraId="311F53C6" w14:textId="77777777">
                          <w:trPr>
                            <w:tblCellSpacing w:w="22" w:type="dxa"/>
                            <w:jc w:val="center"/>
                            <w:hidden/>
                          </w:trPr>
                          <w:tc>
                            <w:tcPr>
                              <w:tcW w:w="0" w:type="auto"/>
                              <w:shd w:val="clear" w:color="auto" w:fill="FFFFFF"/>
                              <w:tcMar>
                                <w:top w:w="150" w:type="dxa"/>
                                <w:left w:w="15" w:type="dxa"/>
                                <w:bottom w:w="150" w:type="dxa"/>
                                <w:right w:w="15" w:type="dxa"/>
                              </w:tcMar>
                              <w:vAlign w:val="center"/>
                              <w:hideMark/>
                            </w:tcPr>
                            <w:p w14:paraId="63C5AA33" w14:textId="77777777" w:rsidR="0077389B" w:rsidRDefault="0077389B">
                              <w:pPr>
                                <w:rPr>
                                  <w:vanish/>
                                </w:rPr>
                              </w:pPr>
                            </w:p>
                          </w:tc>
                        </w:tr>
                      </w:tbl>
                      <w:p w14:paraId="19DDA654" w14:textId="77777777" w:rsidR="0077389B" w:rsidRDefault="0077389B">
                        <w:pPr>
                          <w:spacing w:before="100" w:beforeAutospacing="1" w:after="100" w:afterAutospacing="1" w:line="252" w:lineRule="auto"/>
                          <w:rPr>
                            <w:rFonts w:ascii="Arial" w:hAnsi="Arial" w:cs="Arial"/>
                            <w:color w:val="444444"/>
                            <w:sz w:val="24"/>
                            <w:szCs w:val="24"/>
                            <w14:ligatures w14:val="standardContextual"/>
                          </w:rPr>
                        </w:pPr>
                      </w:p>
                    </w:tc>
                  </w:tr>
                </w:tbl>
                <w:p w14:paraId="01C211F5" w14:textId="77777777" w:rsidR="0077389B" w:rsidRDefault="0077389B">
                  <w:pPr>
                    <w:rPr>
                      <w:rFonts w:ascii="Times New Roman" w:eastAsia="Times New Roman" w:hAnsi="Times New Roman" w:cs="Times New Roman"/>
                      <w:sz w:val="20"/>
                      <w:szCs w:val="20"/>
                    </w:rPr>
                  </w:pPr>
                </w:p>
              </w:tc>
            </w:tr>
          </w:tbl>
          <w:p w14:paraId="27E944CD" w14:textId="77777777" w:rsidR="0077389B" w:rsidRDefault="0077389B">
            <w:pPr>
              <w:spacing w:line="252" w:lineRule="auto"/>
              <w:rPr>
                <w:rFonts w:ascii="Times New Roman" w:hAnsi="Times New Roman" w:cs="Times New Roman"/>
                <w:sz w:val="20"/>
                <w:szCs w:val="20"/>
                <w14:ligatures w14:val="standardContextual"/>
              </w:rPr>
            </w:pPr>
          </w:p>
        </w:tc>
      </w:tr>
    </w:tbl>
    <w:p w14:paraId="37AB8686" w14:textId="77777777" w:rsidR="0077389B" w:rsidRDefault="0077389B" w:rsidP="0077389B">
      <w:pPr>
        <w:rPr>
          <w:rFonts w:ascii="Arial" w:hAnsi="Arial" w:cs="Arial"/>
          <w:color w:val="1F497D"/>
          <w:sz w:val="20"/>
          <w:szCs w:val="20"/>
          <w:lang w:val="en-US"/>
        </w:rPr>
      </w:pPr>
    </w:p>
    <w:p w14:paraId="7A160B97" w14:textId="77777777" w:rsidR="00C65FD1" w:rsidRDefault="00C65FD1"/>
    <w:sectPr w:rsidR="00C6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9B"/>
    <w:rsid w:val="001B4D2E"/>
    <w:rsid w:val="0077389B"/>
    <w:rsid w:val="00AE626B"/>
    <w:rsid w:val="00C65FD1"/>
    <w:rsid w:val="00EA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907A"/>
  <w15:chartTrackingRefBased/>
  <w15:docId w15:val="{A1558B5E-83A9-4D4C-8584-3AD8A491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9B"/>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2.jpg@01DA26ED.8F8A21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1.png@01DA26ED.8F8A217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cp:revision>
  <dcterms:created xsi:type="dcterms:W3CDTF">2023-12-04T15:56:00Z</dcterms:created>
  <dcterms:modified xsi:type="dcterms:W3CDTF">2023-12-04T15:57:00Z</dcterms:modified>
</cp:coreProperties>
</file>