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Pr>
      <w:tblGrid>
        <w:gridCol w:w="9026"/>
      </w:tblGrid>
      <w:tr w:rsidR="002F12BF" w14:paraId="4C0DE214" w14:textId="77777777" w:rsidTr="002F12BF">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2F12BF" w14:paraId="3C42AF69" w14:textId="77777777">
              <w:trPr>
                <w:tblCellSpacing w:w="0" w:type="dxa"/>
              </w:trPr>
              <w:tc>
                <w:tcPr>
                  <w:tcW w:w="0" w:type="auto"/>
                  <w:vAlign w:val="center"/>
                  <w:hideMark/>
                </w:tcPr>
                <w:tbl>
                  <w:tblPr>
                    <w:tblW w:w="9000" w:type="dxa"/>
                    <w:tblCellMar>
                      <w:left w:w="0" w:type="dxa"/>
                      <w:right w:w="0" w:type="dxa"/>
                    </w:tblCellMar>
                    <w:tblLook w:val="04A0" w:firstRow="1" w:lastRow="0" w:firstColumn="1" w:lastColumn="0" w:noHBand="0" w:noVBand="1"/>
                  </w:tblPr>
                  <w:tblGrid>
                    <w:gridCol w:w="4260"/>
                    <w:gridCol w:w="4740"/>
                  </w:tblGrid>
                  <w:tr w:rsidR="002F12BF" w14:paraId="1040C8B7" w14:textId="77777777">
                    <w:tc>
                      <w:tcPr>
                        <w:tcW w:w="2000" w:type="pct"/>
                        <w:hideMark/>
                      </w:tcPr>
                      <w:tbl>
                        <w:tblPr>
                          <w:tblW w:w="0" w:type="auto"/>
                          <w:tblCellMar>
                            <w:left w:w="0" w:type="dxa"/>
                            <w:right w:w="0" w:type="dxa"/>
                          </w:tblCellMar>
                          <w:tblLook w:val="04A0" w:firstRow="1" w:lastRow="0" w:firstColumn="1" w:lastColumn="0" w:noHBand="0" w:noVBand="1"/>
                        </w:tblPr>
                        <w:tblGrid>
                          <w:gridCol w:w="4260"/>
                        </w:tblGrid>
                        <w:tr w:rsidR="002F12BF" w14:paraId="00E04735" w14:textId="77777777">
                          <w:tc>
                            <w:tcPr>
                              <w:tcW w:w="0" w:type="auto"/>
                              <w:tcMar>
                                <w:top w:w="150" w:type="dxa"/>
                                <w:left w:w="0" w:type="dxa"/>
                                <w:bottom w:w="540" w:type="dxa"/>
                                <w:right w:w="0" w:type="dxa"/>
                              </w:tcMar>
                              <w:vAlign w:val="center"/>
                              <w:hideMark/>
                            </w:tcPr>
                            <w:p w14:paraId="52040FD5" w14:textId="15D42AFE" w:rsidR="002F12BF" w:rsidRDefault="002F12BF">
                              <w:pPr>
                                <w:spacing w:after="160" w:line="252" w:lineRule="auto"/>
                                <w:rPr>
                                  <w:rFonts w:ascii="Arial" w:hAnsi="Arial" w:cs="Arial"/>
                                  <w:color w:val="444444"/>
                                  <w:sz w:val="18"/>
                                  <w:szCs w:val="18"/>
                                  <w14:ligatures w14:val="standardContextual"/>
                                </w:rPr>
                              </w:pPr>
                              <w:r>
                                <w:rPr>
                                  <w:rFonts w:ascii="Arial" w:hAnsi="Arial" w:cs="Arial"/>
                                  <w:noProof/>
                                  <w:color w:val="444444"/>
                                  <w:sz w:val="18"/>
                                  <w:szCs w:val="18"/>
                                </w:rPr>
                                <w:drawing>
                                  <wp:inline distT="0" distB="0" distL="0" distR="0" wp14:anchorId="111DECC4" wp14:editId="2F100D1F">
                                    <wp:extent cx="2702560" cy="231775"/>
                                    <wp:effectExtent l="0" t="0" r="2540" b="15875"/>
                                    <wp:docPr id="1147367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702560" cy="231775"/>
                                            </a:xfrm>
                                            <a:prstGeom prst="rect">
                                              <a:avLst/>
                                            </a:prstGeom>
                                            <a:noFill/>
                                            <a:ln>
                                              <a:noFill/>
                                            </a:ln>
                                          </pic:spPr>
                                        </pic:pic>
                                      </a:graphicData>
                                    </a:graphic>
                                  </wp:inline>
                                </w:drawing>
                              </w:r>
                            </w:p>
                          </w:tc>
                        </w:tr>
                      </w:tbl>
                      <w:p w14:paraId="37187427" w14:textId="77777777" w:rsidR="002F12BF" w:rsidRDefault="002F12BF">
                        <w:pPr>
                          <w:rPr>
                            <w:rFonts w:ascii="Times New Roman" w:eastAsia="Times New Roman" w:hAnsi="Times New Roman" w:cs="Times New Roman"/>
                            <w:sz w:val="20"/>
                            <w:szCs w:val="20"/>
                          </w:rPr>
                        </w:pPr>
                      </w:p>
                    </w:tc>
                    <w:tc>
                      <w:tcPr>
                        <w:tcW w:w="3000" w:type="pct"/>
                        <w:hideMark/>
                      </w:tcPr>
                      <w:p w14:paraId="402CC2FA" w14:textId="1F8A8E60" w:rsidR="002F12BF" w:rsidRDefault="002F12BF">
                        <w:pPr>
                          <w:spacing w:after="160" w:line="252" w:lineRule="auto"/>
                          <w:jc w:val="right"/>
                          <w:rPr>
                            <w:rFonts w:ascii="Arial" w:hAnsi="Arial" w:cs="Arial"/>
                            <w:color w:val="444444"/>
                            <w:sz w:val="18"/>
                            <w:szCs w:val="18"/>
                            <w14:ligatures w14:val="standardContextual"/>
                          </w:rPr>
                        </w:pPr>
                        <w:r>
                          <w:rPr>
                            <w:rFonts w:ascii="Arial" w:hAnsi="Arial" w:cs="Arial"/>
                            <w:noProof/>
                            <w:color w:val="444444"/>
                            <w:sz w:val="18"/>
                            <w:szCs w:val="18"/>
                          </w:rPr>
                          <w:drawing>
                            <wp:inline distT="0" distB="0" distL="0" distR="0" wp14:anchorId="4410C28A" wp14:editId="3A606835">
                              <wp:extent cx="2988945" cy="477520"/>
                              <wp:effectExtent l="0" t="0" r="1905" b="17780"/>
                              <wp:docPr id="1202804088" name="Picture 1" descr="A blue and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circle&#10;&#10;Description automatically generated"/>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988945" cy="477520"/>
                                      </a:xfrm>
                                      <a:prstGeom prst="rect">
                                        <a:avLst/>
                                      </a:prstGeom>
                                      <a:noFill/>
                                      <a:ln>
                                        <a:noFill/>
                                      </a:ln>
                                    </pic:spPr>
                                  </pic:pic>
                                </a:graphicData>
                              </a:graphic>
                            </wp:inline>
                          </w:drawing>
                        </w:r>
                      </w:p>
                    </w:tc>
                  </w:tr>
                </w:tbl>
                <w:p w14:paraId="2060CA6E" w14:textId="77777777" w:rsidR="002F12BF" w:rsidRDefault="002F12BF">
                  <w:pPr>
                    <w:rPr>
                      <w:rFonts w:ascii="Times New Roman" w:eastAsia="Times New Roman" w:hAnsi="Times New Roman" w:cs="Times New Roman"/>
                      <w:sz w:val="20"/>
                      <w:szCs w:val="20"/>
                    </w:rPr>
                  </w:pPr>
                </w:p>
              </w:tc>
            </w:tr>
          </w:tbl>
          <w:p w14:paraId="655013A1" w14:textId="77777777" w:rsidR="002F12BF" w:rsidRDefault="002F12BF">
            <w:pPr>
              <w:rPr>
                <w:rFonts w:ascii="Times New Roman" w:eastAsia="Times New Roman" w:hAnsi="Times New Roman" w:cs="Times New Roman"/>
                <w:sz w:val="20"/>
                <w:szCs w:val="20"/>
              </w:rPr>
            </w:pPr>
          </w:p>
        </w:tc>
      </w:tr>
      <w:tr w:rsidR="002F12BF" w14:paraId="7205A46E" w14:textId="77777777" w:rsidTr="002F12BF">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2F12BF" w14:paraId="2FB8AADE"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2F12BF" w14:paraId="5C819EBB" w14:textId="77777777">
                    <w:trPr>
                      <w:tblCellSpacing w:w="0" w:type="dxa"/>
                    </w:trPr>
                    <w:tc>
                      <w:tcPr>
                        <w:tcW w:w="0" w:type="auto"/>
                        <w:vAlign w:val="center"/>
                        <w:hideMark/>
                      </w:tcPr>
                      <w:p w14:paraId="4BA6E3E5" w14:textId="77777777" w:rsidR="002F12BF" w:rsidRDefault="002F12BF">
                        <w:pPr>
                          <w:spacing w:after="160" w:line="252" w:lineRule="auto"/>
                          <w:rPr>
                            <w:rFonts w:ascii="Arial" w:hAnsi="Arial" w:cs="Arial"/>
                            <w:b/>
                            <w:bCs/>
                            <w:color w:val="0460A9"/>
                            <w:sz w:val="24"/>
                            <w:szCs w:val="24"/>
                            <w14:ligatures w14:val="standardContextual"/>
                          </w:rPr>
                        </w:pPr>
                        <w:r>
                          <w:rPr>
                            <w:rFonts w:ascii="Arial" w:hAnsi="Arial" w:cs="Arial"/>
                            <w:b/>
                            <w:bCs/>
                            <w:color w:val="0460A9"/>
                            <w:sz w:val="24"/>
                            <w:szCs w:val="24"/>
                            <w14:ligatures w14:val="standardContextual"/>
                          </w:rPr>
                          <w:t>Clinical Data Operations</w:t>
                        </w:r>
                      </w:p>
                    </w:tc>
                  </w:tr>
                  <w:tr w:rsidR="002F12BF" w14:paraId="441A79F7" w14:textId="77777777">
                    <w:trPr>
                      <w:tblCellSpacing w:w="0" w:type="dxa"/>
                    </w:trPr>
                    <w:tc>
                      <w:tcPr>
                        <w:tcW w:w="0" w:type="auto"/>
                        <w:tcMar>
                          <w:top w:w="225" w:type="dxa"/>
                          <w:left w:w="0" w:type="dxa"/>
                          <w:bottom w:w="225" w:type="dxa"/>
                          <w:right w:w="0" w:type="dxa"/>
                        </w:tcMar>
                        <w:vAlign w:val="center"/>
                        <w:hideMark/>
                      </w:tcPr>
                      <w:p w14:paraId="73B36444" w14:textId="77777777" w:rsidR="002F12BF" w:rsidRDefault="002F12BF">
                        <w:pPr>
                          <w:spacing w:line="252" w:lineRule="auto"/>
                          <w:rPr>
                            <w:rFonts w:ascii="Arial" w:hAnsi="Arial" w:cs="Arial"/>
                            <w:b/>
                            <w:bCs/>
                            <w:color w:val="012068"/>
                            <w:sz w:val="39"/>
                            <w:szCs w:val="39"/>
                            <w14:ligatures w14:val="standardContextual"/>
                          </w:rPr>
                        </w:pPr>
                        <w:r>
                          <w:rPr>
                            <w:rFonts w:ascii="Arial" w:hAnsi="Arial" w:cs="Arial"/>
                            <w:b/>
                            <w:bCs/>
                            <w:color w:val="012068"/>
                            <w:sz w:val="39"/>
                            <w:szCs w:val="39"/>
                            <w14:ligatures w14:val="standardContextual"/>
                          </w:rPr>
                          <w:t>Organizational Announcement</w:t>
                        </w:r>
                      </w:p>
                    </w:tc>
                  </w:tr>
                </w:tbl>
                <w:p w14:paraId="46C5DCE9" w14:textId="77777777" w:rsidR="002F12BF" w:rsidRDefault="002F12BF">
                  <w:pPr>
                    <w:rPr>
                      <w:rFonts w:ascii="Times New Roman" w:eastAsia="Times New Roman" w:hAnsi="Times New Roman" w:cs="Times New Roman"/>
                      <w:sz w:val="20"/>
                      <w:szCs w:val="20"/>
                    </w:rPr>
                  </w:pPr>
                </w:p>
              </w:tc>
            </w:tr>
          </w:tbl>
          <w:p w14:paraId="5A7FC06B" w14:textId="77777777" w:rsidR="002F12BF" w:rsidRDefault="002F12BF">
            <w:pPr>
              <w:rPr>
                <w:rFonts w:ascii="Times New Roman" w:eastAsia="Times New Roman" w:hAnsi="Times New Roman" w:cs="Times New Roman"/>
                <w:sz w:val="20"/>
                <w:szCs w:val="20"/>
              </w:rPr>
            </w:pPr>
          </w:p>
        </w:tc>
      </w:tr>
    </w:tbl>
    <w:p w14:paraId="5D820ED0" w14:textId="77777777" w:rsidR="002F12BF" w:rsidRDefault="002F12BF" w:rsidP="002F12BF">
      <w:pPr>
        <w:spacing w:after="160" w:line="252" w:lineRule="auto"/>
        <w:rPr>
          <w:rFonts w:ascii="Arial" w:hAnsi="Arial" w:cs="Arial"/>
          <w:sz w:val="20"/>
          <w:szCs w:val="20"/>
          <w:lang w:val="en-US"/>
          <w14:ligatures w14:val="standardContextual"/>
        </w:rPr>
      </w:pPr>
    </w:p>
    <w:p w14:paraId="617F2F55"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sz w:val="20"/>
          <w:szCs w:val="20"/>
          <w:lang w:val="en-US"/>
          <w14:ligatures w14:val="standardContextual"/>
        </w:rPr>
        <w:t xml:space="preserve">Dear Colleagues, </w:t>
      </w:r>
    </w:p>
    <w:p w14:paraId="6747ADB0" w14:textId="77777777" w:rsidR="002F12BF" w:rsidRDefault="002F12BF" w:rsidP="002F12BF">
      <w:pPr>
        <w:spacing w:after="160" w:line="252" w:lineRule="auto"/>
        <w:rPr>
          <w:rFonts w:ascii="Arial" w:hAnsi="Arial" w:cs="Arial"/>
          <w:sz w:val="20"/>
          <w:szCs w:val="20"/>
          <w:lang w:val="en-US"/>
          <w14:ligatures w14:val="standardContextual"/>
        </w:rPr>
      </w:pPr>
    </w:p>
    <w:p w14:paraId="43DF22A9"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sz w:val="20"/>
          <w:szCs w:val="20"/>
          <w:lang w:val="en-US"/>
          <w14:ligatures w14:val="standardContextual"/>
        </w:rPr>
        <w:t xml:space="preserve">We are pleased to announce the following selections to the Therapeutic Data Strategy Director (TDSD) role. </w:t>
      </w:r>
    </w:p>
    <w:p w14:paraId="6241928C" w14:textId="77777777" w:rsidR="002F12BF" w:rsidRDefault="002F12BF" w:rsidP="002F12BF">
      <w:pPr>
        <w:spacing w:after="160" w:line="252" w:lineRule="auto"/>
        <w:rPr>
          <w:rFonts w:ascii="Arial" w:hAnsi="Arial" w:cs="Arial"/>
          <w:sz w:val="20"/>
          <w:szCs w:val="20"/>
          <w:lang w:val="en-US"/>
          <w14:ligatures w14:val="standardContextual"/>
        </w:rPr>
      </w:pPr>
    </w:p>
    <w:p w14:paraId="089FE6F2"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b/>
          <w:bCs/>
          <w:sz w:val="20"/>
          <w:szCs w:val="20"/>
          <w:lang w:val="en-US"/>
          <w14:ligatures w14:val="standardContextual"/>
        </w:rPr>
        <w:t>Christelle Navarro</w:t>
      </w:r>
      <w:r>
        <w:rPr>
          <w:rFonts w:ascii="Arial" w:hAnsi="Arial" w:cs="Arial"/>
          <w:sz w:val="20"/>
          <w:szCs w:val="20"/>
          <w:lang w:val="en-US"/>
          <w14:ligatures w14:val="standardContextual"/>
        </w:rPr>
        <w:t xml:space="preserve"> joined Novartis (Statistical Programming team) in February 2007 after she had worked 8 years for a CRO in France. She spent 7 years in NIBR Oncology (OTM) and then joined the full development team as Program Programmer and then as a Unit Head for Oncology projects. In 2017 she joined the Data Operations group as Director DODU and worked on projects such as BYL in PROS (1st real world evidence trial submitted and FDA approved), INC280, ex-GSK projects to name a few – and more recently – she is accountable for DO deliverables of ABL001, LEE011 and AAA/RLT. She holds master's degrees in Biochemistry and in Statistics, from Marseille and Montpellier University of Sciences, France. When not in Novartis offices, she enjoys sewing (watch out the clothes she wears :-); she enjoys cycling and dancing.</w:t>
      </w:r>
    </w:p>
    <w:p w14:paraId="796B7C78"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sz w:val="20"/>
          <w:szCs w:val="20"/>
          <w:lang w:val="en-US"/>
          <w14:ligatures w14:val="standardContextual"/>
        </w:rPr>
        <w:t xml:space="preserve">Christelle will continue reporting to Raj Sinha in her new role and will be based in Basel. </w:t>
      </w:r>
    </w:p>
    <w:p w14:paraId="2B930E64" w14:textId="77777777" w:rsidR="002F12BF" w:rsidRDefault="002F12BF" w:rsidP="002F12BF">
      <w:pPr>
        <w:spacing w:after="160" w:line="252" w:lineRule="auto"/>
        <w:rPr>
          <w:rFonts w:ascii="Arial" w:hAnsi="Arial" w:cs="Arial"/>
          <w:sz w:val="20"/>
          <w:szCs w:val="20"/>
          <w:lang w:val="en-US"/>
          <w14:ligatures w14:val="standardContextual"/>
        </w:rPr>
      </w:pPr>
    </w:p>
    <w:p w14:paraId="439BE37A"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b/>
          <w:bCs/>
          <w:sz w:val="20"/>
          <w:szCs w:val="20"/>
          <w:lang w:val="en-US"/>
          <w14:ligatures w14:val="standardContextual"/>
        </w:rPr>
        <w:t>Harut Chaghasbanian</w:t>
      </w:r>
      <w:r>
        <w:rPr>
          <w:rFonts w:ascii="Arial" w:hAnsi="Arial" w:cs="Arial"/>
          <w:sz w:val="20"/>
          <w:szCs w:val="20"/>
          <w:lang w:val="en-US"/>
          <w14:ligatures w14:val="standardContextual"/>
        </w:rPr>
        <w:t xml:space="preserve"> joined Novartis in July 2013 and has held various roles within the organization until joining Data Operations in October 2019 as DODU. Since then, he has primarily supported the Neuroscience DU portfolio. Additionally, Harut was the integration lead in the acquisition of the Medicine’s Company and </w:t>
      </w:r>
      <w:proofErr w:type="spellStart"/>
      <w:r>
        <w:rPr>
          <w:rFonts w:ascii="Arial" w:hAnsi="Arial" w:cs="Arial"/>
          <w:sz w:val="20"/>
          <w:szCs w:val="20"/>
          <w:lang w:val="en-US"/>
          <w14:ligatures w14:val="standardContextual"/>
        </w:rPr>
        <w:t>AveXis</w:t>
      </w:r>
      <w:proofErr w:type="spellEnd"/>
      <w:r>
        <w:rPr>
          <w:rFonts w:ascii="Arial" w:hAnsi="Arial" w:cs="Arial"/>
          <w:sz w:val="20"/>
          <w:szCs w:val="20"/>
          <w:lang w:val="en-US"/>
          <w14:ligatures w14:val="standardContextual"/>
        </w:rPr>
        <w:t xml:space="preserve">. Presently, he is co-leading the </w:t>
      </w:r>
      <w:proofErr w:type="gramStart"/>
      <w:r>
        <w:rPr>
          <w:rFonts w:ascii="Arial" w:hAnsi="Arial" w:cs="Arial"/>
          <w:sz w:val="20"/>
          <w:szCs w:val="20"/>
          <w:lang w:val="en-US"/>
          <w14:ligatures w14:val="standardContextual"/>
        </w:rPr>
        <w:t>Third Party</w:t>
      </w:r>
      <w:proofErr w:type="gramEnd"/>
      <w:r>
        <w:rPr>
          <w:rFonts w:ascii="Arial" w:hAnsi="Arial" w:cs="Arial"/>
          <w:sz w:val="20"/>
          <w:szCs w:val="20"/>
          <w:lang w:val="en-US"/>
          <w14:ligatures w14:val="standardContextual"/>
        </w:rPr>
        <w:t xml:space="preserve"> Data workstream and supporting the Chinook acquisition activities. He holds a Bachelors (BA) from Boston University, Master of Public Health (MPH) in Biostatistics from Columbia University and a Business (MBA) degree in Finance and Management from Fordham University.</w:t>
      </w:r>
    </w:p>
    <w:p w14:paraId="4E728E4B" w14:textId="77777777" w:rsidR="002F12BF" w:rsidRDefault="002F12BF" w:rsidP="002F12BF">
      <w:pPr>
        <w:spacing w:after="160"/>
        <w:rPr>
          <w:rFonts w:ascii="Arial" w:hAnsi="Arial" w:cs="Arial"/>
          <w:sz w:val="20"/>
          <w:szCs w:val="20"/>
          <w:lang w:val="en-US"/>
          <w14:ligatures w14:val="standardContextual"/>
        </w:rPr>
      </w:pPr>
      <w:r>
        <w:rPr>
          <w:rFonts w:ascii="Arial" w:hAnsi="Arial" w:cs="Arial"/>
          <w:sz w:val="20"/>
          <w:szCs w:val="20"/>
          <w:lang w:val="en-US"/>
          <w14:ligatures w14:val="standardContextual"/>
        </w:rPr>
        <w:t>During his leisure time he loves to travel and hang out with friends at breweries. He is married and is father to two children (15-year-old daughter and 10-year-old son).</w:t>
      </w:r>
    </w:p>
    <w:p w14:paraId="1BC9BE52" w14:textId="77777777" w:rsidR="002F12BF" w:rsidRDefault="002F12BF" w:rsidP="002F12BF">
      <w:pPr>
        <w:spacing w:after="160"/>
        <w:rPr>
          <w:rFonts w:ascii="Arial" w:hAnsi="Arial" w:cs="Arial"/>
          <w:sz w:val="20"/>
          <w:szCs w:val="20"/>
          <w:lang w:val="en-US"/>
          <w14:ligatures w14:val="standardContextual"/>
        </w:rPr>
      </w:pPr>
      <w:r>
        <w:rPr>
          <w:rFonts w:ascii="Arial" w:hAnsi="Arial" w:cs="Arial"/>
          <w:sz w:val="20"/>
          <w:szCs w:val="20"/>
          <w:lang w:val="en-US"/>
          <w14:ligatures w14:val="standardContextual"/>
        </w:rPr>
        <w:t xml:space="preserve">Harut will continue reporting to Raj Sinha in his new role and will be based in East Hanover. </w:t>
      </w:r>
    </w:p>
    <w:p w14:paraId="259718EC" w14:textId="77777777" w:rsidR="002F12BF" w:rsidRDefault="002F12BF" w:rsidP="002F12BF">
      <w:pPr>
        <w:spacing w:after="160" w:line="252" w:lineRule="auto"/>
        <w:rPr>
          <w:rFonts w:ascii="Arial" w:hAnsi="Arial" w:cs="Arial"/>
          <w:sz w:val="20"/>
          <w:szCs w:val="20"/>
          <w:lang w:val="en-US"/>
          <w14:ligatures w14:val="standardContextual"/>
        </w:rPr>
      </w:pPr>
    </w:p>
    <w:p w14:paraId="30A3D400"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b/>
          <w:bCs/>
          <w:sz w:val="20"/>
          <w:szCs w:val="20"/>
          <w:lang w:val="en-US"/>
          <w14:ligatures w14:val="standardContextual"/>
        </w:rPr>
        <w:t>Vinay Mahajan</w:t>
      </w:r>
      <w:r>
        <w:rPr>
          <w:rFonts w:ascii="Arial" w:hAnsi="Arial" w:cs="Arial"/>
          <w:sz w:val="20"/>
          <w:szCs w:val="20"/>
          <w:lang w:val="en-US"/>
          <w14:ligatures w14:val="standardContextual"/>
        </w:rPr>
        <w:t xml:space="preserve"> joined Novartis in July 2001 as a statistical programmer and has taken on various roles with increasing responsibilities to a Director, Data Operations Development Units (DODU) in a series of different roles before taking on the TDSD position. Vinay has made significant contributions to many Novartis drugs like </w:t>
      </w:r>
      <w:proofErr w:type="spellStart"/>
      <w:r>
        <w:rPr>
          <w:rFonts w:ascii="Arial" w:hAnsi="Arial" w:cs="Arial"/>
          <w:sz w:val="20"/>
          <w:szCs w:val="20"/>
          <w:lang w:val="en-US"/>
          <w14:ligatures w14:val="standardContextual"/>
        </w:rPr>
        <w:t>Tasigna</w:t>
      </w:r>
      <w:proofErr w:type="spellEnd"/>
      <w:r>
        <w:rPr>
          <w:rFonts w:ascii="Arial" w:hAnsi="Arial" w:cs="Arial"/>
          <w:sz w:val="20"/>
          <w:szCs w:val="20"/>
          <w:lang w:val="en-US"/>
          <w14:ligatures w14:val="standardContextual"/>
        </w:rPr>
        <w:t xml:space="preserve">, </w:t>
      </w:r>
      <w:proofErr w:type="spellStart"/>
      <w:r>
        <w:rPr>
          <w:rFonts w:ascii="Arial" w:hAnsi="Arial" w:cs="Arial"/>
          <w:sz w:val="20"/>
          <w:szCs w:val="20"/>
          <w:lang w:val="en-US"/>
          <w14:ligatures w14:val="standardContextual"/>
        </w:rPr>
        <w:t>Afinitor</w:t>
      </w:r>
      <w:proofErr w:type="spellEnd"/>
      <w:r>
        <w:rPr>
          <w:rFonts w:ascii="Arial" w:hAnsi="Arial" w:cs="Arial"/>
          <w:sz w:val="20"/>
          <w:szCs w:val="20"/>
          <w:lang w:val="en-US"/>
          <w14:ligatures w14:val="standardContextual"/>
        </w:rPr>
        <w:t xml:space="preserve">, </w:t>
      </w:r>
      <w:proofErr w:type="spellStart"/>
      <w:r>
        <w:rPr>
          <w:rFonts w:ascii="Arial" w:hAnsi="Arial" w:cs="Arial"/>
          <w:sz w:val="20"/>
          <w:szCs w:val="20"/>
          <w:lang w:val="en-US"/>
          <w14:ligatures w14:val="standardContextual"/>
        </w:rPr>
        <w:t>Canicunimab</w:t>
      </w:r>
      <w:proofErr w:type="spellEnd"/>
      <w:r>
        <w:rPr>
          <w:rFonts w:ascii="Arial" w:hAnsi="Arial" w:cs="Arial"/>
          <w:sz w:val="20"/>
          <w:szCs w:val="20"/>
          <w:lang w:val="en-US"/>
          <w14:ligatures w14:val="standardContextual"/>
        </w:rPr>
        <w:t xml:space="preserve">, Entresto, </w:t>
      </w:r>
      <w:proofErr w:type="spellStart"/>
      <w:r>
        <w:rPr>
          <w:rFonts w:ascii="Arial" w:hAnsi="Arial" w:cs="Arial"/>
          <w:sz w:val="20"/>
          <w:szCs w:val="20"/>
          <w:lang w:val="en-US"/>
          <w14:ligatures w14:val="standardContextual"/>
        </w:rPr>
        <w:t>Leqvio</w:t>
      </w:r>
      <w:proofErr w:type="spellEnd"/>
      <w:r>
        <w:rPr>
          <w:rFonts w:ascii="Arial" w:hAnsi="Arial" w:cs="Arial"/>
          <w:sz w:val="20"/>
          <w:szCs w:val="20"/>
          <w:lang w:val="en-US"/>
          <w14:ligatures w14:val="standardContextual"/>
        </w:rPr>
        <w:t xml:space="preserve">, and </w:t>
      </w:r>
      <w:proofErr w:type="spellStart"/>
      <w:r>
        <w:rPr>
          <w:rFonts w:ascii="Arial" w:hAnsi="Arial" w:cs="Arial"/>
          <w:sz w:val="20"/>
          <w:szCs w:val="20"/>
          <w:lang w:val="en-US"/>
          <w14:ligatures w14:val="standardContextual"/>
        </w:rPr>
        <w:t>Ipatcopan</w:t>
      </w:r>
      <w:proofErr w:type="spellEnd"/>
      <w:r>
        <w:rPr>
          <w:rFonts w:ascii="Arial" w:hAnsi="Arial" w:cs="Arial"/>
          <w:sz w:val="20"/>
          <w:szCs w:val="20"/>
          <w:lang w:val="en-US"/>
          <w14:ligatures w14:val="standardContextual"/>
        </w:rPr>
        <w:t xml:space="preserve"> to name a few, on the clinical operation side. He has successfully managed large teams across different sites and has expertise in functional and operational management. He has played a strategic role in the development of clinical data operations functions. Over the years, he has contributed to many non-clinical projects. He is married, has a </w:t>
      </w:r>
      <w:proofErr w:type="gramStart"/>
      <w:r>
        <w:rPr>
          <w:rFonts w:ascii="Arial" w:hAnsi="Arial" w:cs="Arial"/>
          <w:sz w:val="20"/>
          <w:szCs w:val="20"/>
          <w:lang w:val="en-US"/>
          <w14:ligatures w14:val="standardContextual"/>
        </w:rPr>
        <w:t>15 year old</w:t>
      </w:r>
      <w:proofErr w:type="gramEnd"/>
      <w:r>
        <w:rPr>
          <w:rFonts w:ascii="Arial" w:hAnsi="Arial" w:cs="Arial"/>
          <w:sz w:val="20"/>
          <w:szCs w:val="20"/>
          <w:lang w:val="en-US"/>
          <w14:ligatures w14:val="standardContextual"/>
        </w:rPr>
        <w:t xml:space="preserve"> son, and is based in Hyderabad, India. During his leisure time he loves to cook, read, watch sports and exercise.</w:t>
      </w:r>
    </w:p>
    <w:p w14:paraId="1808DBAB"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sz w:val="20"/>
          <w:szCs w:val="20"/>
          <w:lang w:val="en-US"/>
          <w14:ligatures w14:val="standardContextual"/>
        </w:rPr>
        <w:t xml:space="preserve">Vinay will continue reporting to Raj Sinha in his new role and will be based in Hyderabad. </w:t>
      </w:r>
    </w:p>
    <w:p w14:paraId="26DFF688" w14:textId="77777777" w:rsidR="002F12BF" w:rsidRDefault="002F12BF" w:rsidP="002F12BF">
      <w:pPr>
        <w:spacing w:after="160" w:line="252" w:lineRule="auto"/>
        <w:rPr>
          <w:rFonts w:ascii="Arial" w:hAnsi="Arial" w:cs="Arial"/>
          <w:sz w:val="20"/>
          <w:szCs w:val="20"/>
          <w:lang w:val="en-US"/>
          <w14:ligatures w14:val="standardContextual"/>
        </w:rPr>
      </w:pPr>
    </w:p>
    <w:p w14:paraId="790176DA"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b/>
          <w:bCs/>
          <w:sz w:val="20"/>
          <w:szCs w:val="20"/>
          <w:lang w:val="en-US"/>
          <w14:ligatures w14:val="standardContextual"/>
        </w:rPr>
        <w:t>Thierry Paquet-Luzy</w:t>
      </w:r>
      <w:r>
        <w:rPr>
          <w:rFonts w:ascii="Arial" w:hAnsi="Arial" w:cs="Arial"/>
          <w:sz w:val="20"/>
          <w:szCs w:val="20"/>
          <w:lang w:val="en-US"/>
          <w14:ligatures w14:val="standardContextual"/>
        </w:rPr>
        <w:t xml:space="preserve"> joined Novartis in 2010 what is called now SSO. He has worked in Oncology on </w:t>
      </w:r>
      <w:proofErr w:type="spellStart"/>
      <w:r>
        <w:rPr>
          <w:rFonts w:ascii="Arial" w:hAnsi="Arial" w:cs="Arial"/>
          <w:sz w:val="20"/>
          <w:szCs w:val="20"/>
          <w:lang w:val="en-US"/>
          <w14:ligatures w14:val="standardContextual"/>
        </w:rPr>
        <w:t>Afinitor</w:t>
      </w:r>
      <w:proofErr w:type="spellEnd"/>
      <w:r>
        <w:rPr>
          <w:rFonts w:ascii="Arial" w:hAnsi="Arial" w:cs="Arial"/>
          <w:sz w:val="20"/>
          <w:szCs w:val="20"/>
          <w:lang w:val="en-US"/>
          <w14:ligatures w14:val="standardContextual"/>
        </w:rPr>
        <w:t xml:space="preserve"> and </w:t>
      </w:r>
      <w:proofErr w:type="spellStart"/>
      <w:r>
        <w:rPr>
          <w:rFonts w:ascii="Arial" w:hAnsi="Arial" w:cs="Arial"/>
          <w:sz w:val="20"/>
          <w:szCs w:val="20"/>
          <w:lang w:val="en-US"/>
          <w14:ligatures w14:val="standardContextual"/>
        </w:rPr>
        <w:t>Kisqali</w:t>
      </w:r>
      <w:proofErr w:type="spellEnd"/>
      <w:r>
        <w:rPr>
          <w:rFonts w:ascii="Arial" w:hAnsi="Arial" w:cs="Arial"/>
          <w:sz w:val="20"/>
          <w:szCs w:val="20"/>
          <w:lang w:val="en-US"/>
          <w14:ligatures w14:val="standardContextual"/>
        </w:rPr>
        <w:t xml:space="preserve"> programs (HCC and Breast Cancer indications), taking roles with increasing responsibilities becoming Clinical Trial Head now called Senior Study Lead. He has also worked on various processes and as the Senior Process Implementation Manager has supported projects like implementation of CAT (Collaborative Authoring Tool) in Development, Business Process Reengineering of trial start-up activities and OC-RDC exit / RAINBOW project. He holds a master's degree in Immunology from Pasteur Institute (Paris) and Lean Six Sigma Green Belt certification. Outside of work he likes spending time with his family and scuba diving.</w:t>
      </w:r>
    </w:p>
    <w:p w14:paraId="483972EB"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sz w:val="20"/>
          <w:szCs w:val="20"/>
          <w:lang w:val="en-US"/>
          <w14:ligatures w14:val="standardContextual"/>
        </w:rPr>
        <w:t>Thierry will report to Raj Sinha in his new role and will continue to be based in Basel.</w:t>
      </w:r>
    </w:p>
    <w:p w14:paraId="5EFA8699" w14:textId="77777777" w:rsidR="002F12BF" w:rsidRDefault="002F12BF" w:rsidP="002F12BF">
      <w:pPr>
        <w:spacing w:after="160" w:line="252" w:lineRule="auto"/>
        <w:rPr>
          <w:rFonts w:ascii="Arial" w:hAnsi="Arial" w:cs="Arial"/>
          <w:sz w:val="20"/>
          <w:szCs w:val="20"/>
          <w:lang w:val="en-US"/>
          <w14:ligatures w14:val="standardContextual"/>
        </w:rPr>
      </w:pPr>
    </w:p>
    <w:p w14:paraId="4C0A84A2"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b/>
          <w:bCs/>
          <w:sz w:val="20"/>
          <w:szCs w:val="20"/>
          <w:lang w:val="en-US"/>
          <w14:ligatures w14:val="standardContextual"/>
        </w:rPr>
        <w:t>Anuradha Tirumalaraju</w:t>
      </w:r>
      <w:r>
        <w:rPr>
          <w:rFonts w:ascii="Arial" w:hAnsi="Arial" w:cs="Arial"/>
          <w:sz w:val="20"/>
          <w:szCs w:val="20"/>
          <w:lang w:val="en-US"/>
          <w14:ligatures w14:val="standardContextual"/>
        </w:rPr>
        <w:t xml:space="preserve"> joined Novartis in 2007 as a Statistical Programmer, and has since worked on multiple therapeutic areas, led key projects of Multiple Sclerosis indication (KESIMPTA, MAYZENT, and GILENYA), and many key submissions. She has also supported multiple non-drug projects such as defining simplified processes to ensure efficiency and resource management enforcing operational excellence and in bringing advanced technology for analysis and reporting replacing legacy systems in alignment with organizational vision. In her current role as Associate Director Statistical Programming, she is playing a pivotal role in the CLOUDSCAPE project as Process Redesign Business Lead. Outside of work she loves to travel, dance, and spend time with family &amp; friends.</w:t>
      </w:r>
    </w:p>
    <w:p w14:paraId="4A8F07A7"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sz w:val="20"/>
          <w:szCs w:val="20"/>
          <w:lang w:val="en-US"/>
          <w14:ligatures w14:val="standardContextual"/>
        </w:rPr>
        <w:t xml:space="preserve">Anuradha will report to Raj Sinha in her new role and will continue to be based in Hyderabad. </w:t>
      </w:r>
    </w:p>
    <w:p w14:paraId="6C257279" w14:textId="77777777" w:rsidR="002F12BF" w:rsidRDefault="002F12BF" w:rsidP="002F12BF">
      <w:pPr>
        <w:spacing w:after="160" w:line="252" w:lineRule="auto"/>
        <w:rPr>
          <w:rFonts w:ascii="Arial" w:hAnsi="Arial" w:cs="Arial"/>
          <w:sz w:val="20"/>
          <w:szCs w:val="20"/>
          <w:lang w:val="en-US"/>
          <w14:ligatures w14:val="standardContextual"/>
        </w:rPr>
      </w:pPr>
    </w:p>
    <w:p w14:paraId="73A57FDE"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b/>
          <w:bCs/>
          <w:sz w:val="20"/>
          <w:szCs w:val="20"/>
          <w:lang w:val="en-US"/>
          <w14:ligatures w14:val="standardContextual"/>
        </w:rPr>
        <w:t>Sourya Ghosh</w:t>
      </w:r>
      <w:r>
        <w:rPr>
          <w:rFonts w:ascii="Arial" w:hAnsi="Arial" w:cs="Arial"/>
          <w:sz w:val="20"/>
          <w:szCs w:val="20"/>
          <w:lang w:val="en-US"/>
          <w14:ligatures w14:val="standardContextual"/>
        </w:rPr>
        <w:t xml:space="preserve"> joined Novartis in 2010 in Data Management and has since worked on various projects such as BAF312A (</w:t>
      </w:r>
      <w:proofErr w:type="spellStart"/>
      <w:r>
        <w:rPr>
          <w:rFonts w:ascii="Arial" w:hAnsi="Arial" w:cs="Arial"/>
          <w:sz w:val="20"/>
          <w:szCs w:val="20"/>
          <w:lang w:val="en-US"/>
          <w14:ligatures w14:val="standardContextual"/>
        </w:rPr>
        <w:t>Mayzent</w:t>
      </w:r>
      <w:proofErr w:type="spellEnd"/>
      <w:r>
        <w:rPr>
          <w:rFonts w:ascii="Arial" w:hAnsi="Arial" w:cs="Arial"/>
          <w:sz w:val="20"/>
          <w:szCs w:val="20"/>
          <w:lang w:val="en-US"/>
          <w14:ligatures w14:val="standardContextual"/>
        </w:rPr>
        <w:t>) and OMB157G (</w:t>
      </w:r>
      <w:proofErr w:type="spellStart"/>
      <w:r>
        <w:rPr>
          <w:rFonts w:ascii="Arial" w:hAnsi="Arial" w:cs="Arial"/>
          <w:sz w:val="20"/>
          <w:szCs w:val="20"/>
          <w:lang w:val="en-US"/>
          <w14:ligatures w14:val="standardContextual"/>
        </w:rPr>
        <w:t>Kesimpta</w:t>
      </w:r>
      <w:proofErr w:type="spellEnd"/>
      <w:r>
        <w:rPr>
          <w:rFonts w:ascii="Arial" w:hAnsi="Arial" w:cs="Arial"/>
          <w:sz w:val="20"/>
          <w:szCs w:val="20"/>
          <w:lang w:val="en-US"/>
          <w14:ligatures w14:val="standardContextual"/>
        </w:rPr>
        <w:t xml:space="preserve">). He has also supported various initiatives such as RAINBOW and was the Functional SME for global projects like CATAPULT, WOC, </w:t>
      </w:r>
      <w:proofErr w:type="spellStart"/>
      <w:r>
        <w:rPr>
          <w:rFonts w:ascii="Arial" w:hAnsi="Arial" w:cs="Arial"/>
          <w:sz w:val="20"/>
          <w:szCs w:val="20"/>
          <w:lang w:val="en-US"/>
          <w14:ligatures w14:val="standardContextual"/>
        </w:rPr>
        <w:t>bATR</w:t>
      </w:r>
      <w:proofErr w:type="spellEnd"/>
      <w:r>
        <w:rPr>
          <w:rFonts w:ascii="Arial" w:hAnsi="Arial" w:cs="Arial"/>
          <w:sz w:val="20"/>
          <w:szCs w:val="20"/>
          <w:lang w:val="en-US"/>
          <w14:ligatures w14:val="standardContextual"/>
        </w:rPr>
        <w:t xml:space="preserve">, CDP and Ambition and Project Lead for CPMD, Global Reports. Outside of work Sourya’s an avid traveler, loves sports of any kind and plays soccer, </w:t>
      </w:r>
      <w:proofErr w:type="gramStart"/>
      <w:r>
        <w:rPr>
          <w:rFonts w:ascii="Arial" w:hAnsi="Arial" w:cs="Arial"/>
          <w:sz w:val="20"/>
          <w:szCs w:val="20"/>
          <w:lang w:val="en-US"/>
          <w14:ligatures w14:val="standardContextual"/>
        </w:rPr>
        <w:t>cricket</w:t>
      </w:r>
      <w:proofErr w:type="gramEnd"/>
      <w:r>
        <w:rPr>
          <w:rFonts w:ascii="Arial" w:hAnsi="Arial" w:cs="Arial"/>
          <w:sz w:val="20"/>
          <w:szCs w:val="20"/>
          <w:lang w:val="en-US"/>
          <w14:ligatures w14:val="standardContextual"/>
        </w:rPr>
        <w:t xml:space="preserve"> and table tennis, and has interests in music and dance.</w:t>
      </w:r>
    </w:p>
    <w:p w14:paraId="2F2767DA"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sz w:val="20"/>
          <w:szCs w:val="20"/>
          <w:lang w:val="en-US"/>
          <w14:ligatures w14:val="standardContextual"/>
        </w:rPr>
        <w:t xml:space="preserve">Sourya will report to Raj Sinha in his new role and will continue to be based in Hyderabad. </w:t>
      </w:r>
    </w:p>
    <w:p w14:paraId="15C7E7F2" w14:textId="77777777" w:rsidR="002F12BF" w:rsidRDefault="002F12BF" w:rsidP="002F12BF">
      <w:pPr>
        <w:spacing w:after="160" w:line="252" w:lineRule="auto"/>
        <w:rPr>
          <w:rFonts w:ascii="Arial" w:hAnsi="Arial" w:cs="Arial"/>
          <w:sz w:val="20"/>
          <w:szCs w:val="20"/>
          <w:lang w:val="en-US"/>
          <w14:ligatures w14:val="standardContextual"/>
        </w:rPr>
      </w:pPr>
    </w:p>
    <w:p w14:paraId="3119E8E9"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sz w:val="20"/>
          <w:szCs w:val="20"/>
          <w:lang w:val="en-US"/>
          <w14:ligatures w14:val="standardContextual"/>
        </w:rPr>
        <w:t xml:space="preserve">Please join me in wishing the best to all of them. </w:t>
      </w:r>
    </w:p>
    <w:p w14:paraId="4A08FCC0" w14:textId="77777777" w:rsidR="002F12BF" w:rsidRDefault="002F12BF" w:rsidP="002F12BF">
      <w:pPr>
        <w:spacing w:after="160" w:line="252" w:lineRule="auto"/>
        <w:rPr>
          <w:rFonts w:ascii="Arial" w:hAnsi="Arial" w:cs="Arial"/>
          <w:sz w:val="20"/>
          <w:szCs w:val="20"/>
          <w:lang w:val="en-US"/>
          <w14:ligatures w14:val="standardContextual"/>
        </w:rPr>
      </w:pPr>
    </w:p>
    <w:p w14:paraId="55D51DE0"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sz w:val="20"/>
          <w:szCs w:val="20"/>
          <w:lang w:val="en-US"/>
          <w14:ligatures w14:val="standardContextual"/>
        </w:rPr>
        <w:t>Best Regards,</w:t>
      </w:r>
    </w:p>
    <w:p w14:paraId="6BE80931" w14:textId="77777777" w:rsidR="002F12BF" w:rsidRDefault="002F12BF" w:rsidP="002F12BF">
      <w:pPr>
        <w:spacing w:after="160" w:line="252" w:lineRule="auto"/>
        <w:rPr>
          <w:rFonts w:ascii="Arial" w:hAnsi="Arial" w:cs="Arial"/>
          <w:sz w:val="20"/>
          <w:szCs w:val="20"/>
          <w:lang w:val="en-US"/>
          <w14:ligatures w14:val="standardContextual"/>
        </w:rPr>
      </w:pPr>
    </w:p>
    <w:p w14:paraId="3FB58F71" w14:textId="77777777" w:rsidR="002F12BF" w:rsidRDefault="002F12BF" w:rsidP="002F12BF">
      <w:pPr>
        <w:spacing w:after="160" w:line="252" w:lineRule="auto"/>
        <w:rPr>
          <w:rFonts w:ascii="Arial" w:hAnsi="Arial" w:cs="Arial"/>
          <w:b/>
          <w:bCs/>
          <w:sz w:val="20"/>
          <w:szCs w:val="20"/>
          <w:lang w:val="en-US"/>
          <w14:ligatures w14:val="standardContextual"/>
        </w:rPr>
      </w:pPr>
      <w:r>
        <w:rPr>
          <w:rFonts w:ascii="Arial" w:hAnsi="Arial" w:cs="Arial"/>
          <w:b/>
          <w:bCs/>
          <w:sz w:val="20"/>
          <w:szCs w:val="20"/>
          <w:lang w:val="en-US"/>
          <w14:ligatures w14:val="standardContextual"/>
        </w:rPr>
        <w:t>Raj Sinha</w:t>
      </w:r>
    </w:p>
    <w:p w14:paraId="334CB898" w14:textId="77777777" w:rsidR="002F12BF" w:rsidRDefault="002F12BF" w:rsidP="002F12BF">
      <w:pPr>
        <w:spacing w:after="160" w:line="252" w:lineRule="auto"/>
        <w:rPr>
          <w:rFonts w:ascii="Arial" w:hAnsi="Arial" w:cs="Arial"/>
          <w:sz w:val="20"/>
          <w:szCs w:val="20"/>
          <w:lang w:val="en-US"/>
          <w14:ligatures w14:val="standardContextual"/>
        </w:rPr>
      </w:pPr>
      <w:r>
        <w:rPr>
          <w:rFonts w:ascii="Arial" w:hAnsi="Arial" w:cs="Arial"/>
          <w:sz w:val="20"/>
          <w:szCs w:val="20"/>
          <w:lang w:val="en-US"/>
          <w14:ligatures w14:val="standardContextual"/>
        </w:rPr>
        <w:t>Head Clinical Data Strategy</w:t>
      </w:r>
    </w:p>
    <w:tbl>
      <w:tblPr>
        <w:tblW w:w="9000" w:type="dxa"/>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2F12BF" w14:paraId="72CD33B3" w14:textId="77777777" w:rsidTr="002F12BF">
        <w:trPr>
          <w:tblCellSpacing w:w="0" w:type="dxa"/>
          <w:jc w:val="center"/>
        </w:trPr>
        <w:tc>
          <w:tcPr>
            <w:tcW w:w="5000" w:type="pct"/>
            <w:shd w:val="clear" w:color="auto" w:fill="FFFFFF"/>
            <w:tcMar>
              <w:top w:w="0" w:type="dxa"/>
              <w:left w:w="0" w:type="dxa"/>
              <w:bottom w:w="300" w:type="dxa"/>
              <w:right w:w="0" w:type="dxa"/>
            </w:tcMar>
            <w:hideMark/>
          </w:tcPr>
          <w:p w14:paraId="21527131" w14:textId="77777777" w:rsidR="002F12BF" w:rsidRDefault="002F12BF">
            <w:pPr>
              <w:rPr>
                <w:rFonts w:ascii="Arial" w:hAnsi="Arial" w:cs="Arial"/>
                <w:sz w:val="20"/>
                <w:szCs w:val="20"/>
                <w:lang w:val="en-US"/>
                <w14:ligatures w14:val="standardContextual"/>
              </w:rPr>
            </w:pPr>
          </w:p>
        </w:tc>
      </w:tr>
      <w:tr w:rsidR="002F12BF" w14:paraId="2CDD9AB7" w14:textId="77777777" w:rsidTr="002F12BF">
        <w:trPr>
          <w:tblCellSpacing w:w="0" w:type="dxa"/>
          <w:jc w:val="center"/>
        </w:trPr>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2F12BF" w14:paraId="0C6D6B9B" w14:textId="77777777">
              <w:trPr>
                <w:tblCellSpacing w:w="0" w:type="dxa"/>
              </w:trPr>
              <w:tc>
                <w:tcPr>
                  <w:tcW w:w="0" w:type="auto"/>
                  <w:vAlign w:val="center"/>
                  <w:hideMark/>
                </w:tcPr>
                <w:p w14:paraId="45453E22" w14:textId="77777777" w:rsidR="002F12BF" w:rsidRDefault="002F12BF">
                  <w:pPr>
                    <w:rPr>
                      <w:rFonts w:ascii="Times New Roman" w:eastAsia="Times New Roman" w:hAnsi="Times New Roman" w:cs="Times New Roman"/>
                      <w:sz w:val="20"/>
                      <w:szCs w:val="20"/>
                    </w:rPr>
                  </w:pPr>
                </w:p>
              </w:tc>
            </w:tr>
          </w:tbl>
          <w:p w14:paraId="5CC5D733" w14:textId="77777777" w:rsidR="002F12BF" w:rsidRDefault="002F12BF">
            <w:pPr>
              <w:rPr>
                <w:rFonts w:ascii="Times New Roman" w:eastAsia="Times New Roman" w:hAnsi="Times New Roman" w:cs="Times New Roman"/>
                <w:sz w:val="20"/>
                <w:szCs w:val="20"/>
              </w:rPr>
            </w:pPr>
          </w:p>
        </w:tc>
      </w:tr>
    </w:tbl>
    <w:tbl>
      <w:tblPr>
        <w:tblpPr w:leftFromText="180" w:rightFromText="180" w:vertAnchor="text"/>
        <w:tblW w:w="9000" w:type="dxa"/>
        <w:tblCellSpacing w:w="0" w:type="dxa"/>
        <w:tblCellMar>
          <w:left w:w="0" w:type="dxa"/>
          <w:right w:w="0" w:type="dxa"/>
        </w:tblCellMar>
        <w:tblLook w:val="04A0" w:firstRow="1" w:lastRow="0" w:firstColumn="1" w:lastColumn="0" w:noHBand="0" w:noVBand="1"/>
      </w:tblPr>
      <w:tblGrid>
        <w:gridCol w:w="9000"/>
      </w:tblGrid>
      <w:tr w:rsidR="002F12BF" w14:paraId="2E21CFB6" w14:textId="77777777" w:rsidTr="002F12BF">
        <w:trPr>
          <w:tblCellSpacing w:w="0" w:type="dxa"/>
        </w:trPr>
        <w:tc>
          <w:tcPr>
            <w:tcW w:w="0" w:type="auto"/>
            <w:shd w:val="clear" w:color="auto" w:fill="0460A9"/>
            <w:tcMar>
              <w:top w:w="150" w:type="dxa"/>
              <w:left w:w="225" w:type="dxa"/>
              <w:bottom w:w="150" w:type="dxa"/>
              <w:right w:w="225" w:type="dxa"/>
            </w:tcMar>
            <w:vAlign w:val="center"/>
            <w:hideMark/>
          </w:tcPr>
          <w:p w14:paraId="4C853A7E" w14:textId="77777777" w:rsidR="002F12BF" w:rsidRDefault="002F12BF">
            <w:pPr>
              <w:spacing w:line="252" w:lineRule="auto"/>
              <w:rPr>
                <w:sz w:val="20"/>
                <w:szCs w:val="20"/>
                <w14:ligatures w14:val="standardContextual"/>
              </w:rPr>
            </w:pPr>
            <w:r>
              <w:rPr>
                <w:rFonts w:ascii="Arial" w:hAnsi="Arial" w:cs="Arial"/>
                <w:i/>
                <w:iCs/>
                <w:color w:val="FFFFFF"/>
                <w:sz w:val="18"/>
                <w:szCs w:val="18"/>
                <w14:ligatures w14:val="standardContextual"/>
              </w:rPr>
              <w:t xml:space="preserve">For internal use only and not to be shown, </w:t>
            </w:r>
            <w:proofErr w:type="gramStart"/>
            <w:r>
              <w:rPr>
                <w:rFonts w:ascii="Arial" w:hAnsi="Arial" w:cs="Arial"/>
                <w:i/>
                <w:iCs/>
                <w:color w:val="FFFFFF"/>
                <w:sz w:val="18"/>
                <w:szCs w:val="18"/>
                <w14:ligatures w14:val="standardContextual"/>
              </w:rPr>
              <w:t>distributed</w:t>
            </w:r>
            <w:proofErr w:type="gramEnd"/>
            <w:r>
              <w:rPr>
                <w:rFonts w:ascii="Arial" w:hAnsi="Arial" w:cs="Arial"/>
                <w:i/>
                <w:iCs/>
                <w:color w:val="FFFFFF"/>
                <w:sz w:val="18"/>
                <w:szCs w:val="18"/>
                <w14:ligatures w14:val="standardContextual"/>
              </w:rPr>
              <w:t xml:space="preserve"> or disseminated outside of Novartis. </w:t>
            </w:r>
          </w:p>
        </w:tc>
      </w:tr>
    </w:tbl>
    <w:p w14:paraId="622A4E16" w14:textId="77777777" w:rsidR="002F12BF" w:rsidRDefault="002F12BF" w:rsidP="002F12BF">
      <w:pPr>
        <w:spacing w:after="160" w:line="252" w:lineRule="auto"/>
        <w:rPr>
          <w:rFonts w:ascii="Arial" w:hAnsi="Arial" w:cs="Arial"/>
          <w:sz w:val="20"/>
          <w:szCs w:val="20"/>
          <w:lang w:val="en-US"/>
          <w14:ligatures w14:val="standardContextual"/>
        </w:rPr>
      </w:pPr>
    </w:p>
    <w:p w14:paraId="0C027B16" w14:textId="77777777" w:rsidR="002F12BF" w:rsidRDefault="002F12BF" w:rsidP="002F12BF">
      <w:pPr>
        <w:rPr>
          <w:rFonts w:ascii="Arial" w:hAnsi="Arial" w:cs="Arial"/>
          <w:sz w:val="20"/>
          <w:szCs w:val="20"/>
          <w:lang w:val="en-US"/>
          <w14:ligatures w14:val="standardContextual"/>
        </w:rPr>
      </w:pPr>
    </w:p>
    <w:p w14:paraId="5638AD58" w14:textId="77777777" w:rsidR="002F12BF" w:rsidRDefault="002F12BF" w:rsidP="002F12BF">
      <w:pPr>
        <w:rPr>
          <w:rFonts w:ascii="Arial" w:hAnsi="Arial" w:cs="Arial"/>
          <w:color w:val="1F497D"/>
          <w:sz w:val="20"/>
          <w:szCs w:val="20"/>
          <w:lang w:val="en-US"/>
        </w:rPr>
      </w:pPr>
    </w:p>
    <w:p w14:paraId="1185D582" w14:textId="77777777" w:rsidR="00C65FD1" w:rsidRDefault="00C65FD1"/>
    <w:sectPr w:rsidR="00C6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BF"/>
    <w:rsid w:val="001B4D2E"/>
    <w:rsid w:val="002F12BF"/>
    <w:rsid w:val="00AE626B"/>
    <w:rsid w:val="00C65FD1"/>
    <w:rsid w:val="00EA5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4C16"/>
  <w15:chartTrackingRefBased/>
  <w15:docId w15:val="{B708DF1F-AECF-43C9-9310-14C2C2C2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2BF"/>
    <w:pPr>
      <w:spacing w:after="0" w:line="240" w:lineRule="auto"/>
    </w:pPr>
    <w:rPr>
      <w:rFonts w:ascii="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3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02.jpg@01DA2CE6.78B774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cid:image001.png@01DA2CE6.78B7748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1</cp:revision>
  <dcterms:created xsi:type="dcterms:W3CDTF">2023-12-12T06:51:00Z</dcterms:created>
  <dcterms:modified xsi:type="dcterms:W3CDTF">2023-12-12T06:52:00Z</dcterms:modified>
</cp:coreProperties>
</file>