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A220C" w14:textId="77777777" w:rsidR="0097607A" w:rsidRDefault="0097607A" w:rsidP="0097607A">
      <w:pPr>
        <w:spacing w:line="0" w:lineRule="auto"/>
        <w:rPr>
          <w:rFonts w:eastAsia="Times New Roman"/>
          <w:vanish/>
          <w:sz w:val="2"/>
          <w:szCs w:val="2"/>
        </w:rPr>
      </w:pPr>
      <w:r>
        <w:rPr>
          <w:rFonts w:eastAsia="Times New Roman"/>
          <w:vanish/>
          <w:sz w:val="2"/>
          <w:szCs w:val="2"/>
        </w:rPr>
        <w:t xml:space="preserve"> ‌ </w:t>
      </w:r>
    </w:p>
    <w:p w14:paraId="72491075" w14:textId="77777777" w:rsidR="0097607A" w:rsidRDefault="0097607A" w:rsidP="0097607A">
      <w:pPr>
        <w:spacing w:line="0" w:lineRule="auto"/>
        <w:rPr>
          <w:rFonts w:eastAsia="Times New Roman"/>
          <w:vanish/>
          <w:sz w:val="2"/>
          <w:szCs w:val="2"/>
        </w:rPr>
      </w:pPr>
      <w:r>
        <w:rPr>
          <w:rFonts w:eastAsia="Times New Roman"/>
          <w:vanish/>
          <w:sz w:val="2"/>
          <w:szCs w:val="2"/>
        </w:rPr>
        <w:t xml:space="preserve"> ‌ ‌ ‌ ‌ ‌ ‌ ‌ ‌ ‌ ‌ ‌ ‌ ‌ ‌ ‌ ‌ ‌ ‌ </w:t>
      </w:r>
    </w:p>
    <w:p w14:paraId="78093A22" w14:textId="77777777" w:rsidR="0097607A" w:rsidRDefault="0097607A" w:rsidP="0097607A">
      <w:pPr>
        <w:spacing w:line="0" w:lineRule="auto"/>
        <w:rPr>
          <w:rFonts w:eastAsia="Times New Roman"/>
          <w:vanish/>
          <w:sz w:val="2"/>
          <w:szCs w:val="2"/>
        </w:rPr>
      </w:pPr>
      <w:r>
        <w:rPr>
          <w:rFonts w:eastAsia="Times New Roman"/>
          <w:vanish/>
          <w:sz w:val="2"/>
          <w:szCs w:val="2"/>
        </w:rPr>
        <w:t xml:space="preserve"> ‌ ‌ ‌ ‌ ‌ ‌ ‌ ‌ ‌ ‌ ‌ ‌ ‌ ‌ ‌ ‌ ‌ ‌ </w:t>
      </w:r>
    </w:p>
    <w:p w14:paraId="15081E45" w14:textId="77777777" w:rsidR="0097607A" w:rsidRDefault="0097607A" w:rsidP="0097607A">
      <w:pPr>
        <w:spacing w:line="0" w:lineRule="auto"/>
        <w:rPr>
          <w:rFonts w:eastAsia="Times New Roman"/>
          <w:vanish/>
          <w:sz w:val="2"/>
          <w:szCs w:val="2"/>
        </w:rPr>
      </w:pPr>
      <w:r>
        <w:rPr>
          <w:rFonts w:eastAsia="Times New Roman"/>
          <w:vanish/>
          <w:sz w:val="2"/>
          <w:szCs w:val="2"/>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737DF08A" w14:textId="549C2036" w:rsidR="0097607A" w:rsidRDefault="0097607A" w:rsidP="0097607A">
      <w:pPr>
        <w:rPr>
          <w:rFonts w:eastAsia="Times New Roman"/>
          <w:sz w:val="2"/>
          <w:szCs w:val="2"/>
        </w:rPr>
      </w:pPr>
      <w:r>
        <w:rPr>
          <w:rFonts w:eastAsia="Times New Roman"/>
          <w:noProof/>
          <w:sz w:val="2"/>
          <w:szCs w:val="2"/>
        </w:rPr>
        <w:drawing>
          <wp:inline distT="0" distB="0" distL="0" distR="0" wp14:anchorId="257FD776" wp14:editId="69614B8C">
            <wp:extent cx="10795" cy="10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bl>
      <w:tblPr>
        <w:tblW w:w="5000" w:type="pct"/>
        <w:jc w:val="center"/>
        <w:tblLook w:val="04A0" w:firstRow="1" w:lastRow="0" w:firstColumn="1" w:lastColumn="0" w:noHBand="0" w:noVBand="1"/>
      </w:tblPr>
      <w:tblGrid>
        <w:gridCol w:w="9026"/>
      </w:tblGrid>
      <w:tr w:rsidR="0097607A" w14:paraId="515A70F5" w14:textId="77777777" w:rsidTr="0097607A">
        <w:trPr>
          <w:jc w:val="center"/>
          <w:hidden/>
        </w:trPr>
        <w:tc>
          <w:tcPr>
            <w:tcW w:w="0" w:type="auto"/>
            <w:tcMar>
              <w:top w:w="0" w:type="dxa"/>
              <w:left w:w="0" w:type="dxa"/>
              <w:bottom w:w="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9026"/>
            </w:tblGrid>
            <w:tr w:rsidR="0097607A" w14:paraId="2D020929" w14:textId="77777777">
              <w:trPr>
                <w:tblCellSpacing w:w="0" w:type="dxa"/>
                <w:jc w:val="center"/>
                <w:hidden/>
              </w:trPr>
              <w:tc>
                <w:tcPr>
                  <w:tcW w:w="0" w:type="auto"/>
                  <w:tcMar>
                    <w:top w:w="60" w:type="dxa"/>
                    <w:left w:w="60" w:type="dxa"/>
                    <w:bottom w:w="60" w:type="dxa"/>
                    <w:right w:w="60" w:type="dxa"/>
                  </w:tcMar>
                  <w:vAlign w:val="center"/>
                  <w:hideMark/>
                </w:tcPr>
                <w:p w14:paraId="4181D62B" w14:textId="77777777" w:rsidR="0097607A" w:rsidRDefault="0097607A">
                  <w:pPr>
                    <w:rPr>
                      <w:rFonts w:ascii="Arial" w:eastAsia="Times New Roman" w:hAnsi="Arial" w:cs="Arial"/>
                      <w:vanish/>
                      <w:color w:val="000000"/>
                      <w:sz w:val="24"/>
                      <w:szCs w:val="24"/>
                    </w:rPr>
                  </w:pPr>
                  <w:r>
                    <w:rPr>
                      <w:rFonts w:ascii="Arial" w:eastAsia="Times New Roman" w:hAnsi="Arial" w:cs="Arial"/>
                      <w:vanish/>
                      <w:color w:val="000000"/>
                      <w:sz w:val="24"/>
                      <w:szCs w:val="24"/>
                    </w:rPr>
                    <w:t> </w:t>
                  </w:r>
                </w:p>
              </w:tc>
            </w:tr>
          </w:tbl>
          <w:p w14:paraId="4226460E" w14:textId="77777777" w:rsidR="0097607A" w:rsidRDefault="0097607A">
            <w:pPr>
              <w:jc w:val="center"/>
              <w:rPr>
                <w:rFonts w:ascii="Times New Roman" w:eastAsia="Times New Roman" w:hAnsi="Times New Roman" w:cs="Times New Roman"/>
                <w:sz w:val="20"/>
                <w:szCs w:val="20"/>
              </w:rPr>
            </w:pPr>
          </w:p>
        </w:tc>
      </w:tr>
    </w:tbl>
    <w:p w14:paraId="15AC5A19" w14:textId="77777777" w:rsidR="0097607A" w:rsidRDefault="0097607A" w:rsidP="0097607A">
      <w:pPr>
        <w:shd w:val="clear" w:color="auto" w:fill="FFFFFF"/>
        <w:rPr>
          <w:rFonts w:eastAsia="Times New Roman"/>
          <w:vanish/>
        </w:rPr>
      </w:pPr>
    </w:p>
    <w:tbl>
      <w:tblPr>
        <w:tblW w:w="9000" w:type="dxa"/>
        <w:jc w:val="center"/>
        <w:tblCellSpacing w:w="0" w:type="dxa"/>
        <w:shd w:val="clear" w:color="auto" w:fill="FFFFFF"/>
        <w:tblCellMar>
          <w:left w:w="0" w:type="dxa"/>
          <w:right w:w="0" w:type="dxa"/>
        </w:tblCellMar>
        <w:tblLook w:val="04A0" w:firstRow="1" w:lastRow="0" w:firstColumn="1" w:lastColumn="0" w:noHBand="0" w:noVBand="1"/>
      </w:tblPr>
      <w:tblGrid>
        <w:gridCol w:w="9000"/>
      </w:tblGrid>
      <w:tr w:rsidR="0097607A" w14:paraId="505BE0D4" w14:textId="77777777" w:rsidTr="0097607A">
        <w:trPr>
          <w:tblCellSpacing w:w="0" w:type="dxa"/>
          <w:jc w:val="center"/>
        </w:trPr>
        <w:tc>
          <w:tcPr>
            <w:tcW w:w="5000" w:type="pct"/>
            <w:shd w:val="clear" w:color="auto" w:fill="FFFFFF"/>
          </w:tcPr>
          <w:tbl>
            <w:tblPr>
              <w:tblW w:w="5000" w:type="pct"/>
              <w:tblCellSpacing w:w="0" w:type="dxa"/>
              <w:tblCellMar>
                <w:left w:w="0" w:type="dxa"/>
                <w:right w:w="0" w:type="dxa"/>
              </w:tblCellMar>
              <w:tblLook w:val="04A0" w:firstRow="1" w:lastRow="0" w:firstColumn="1" w:lastColumn="0" w:noHBand="0" w:noVBand="1"/>
            </w:tblPr>
            <w:tblGrid>
              <w:gridCol w:w="9000"/>
            </w:tblGrid>
            <w:tr w:rsidR="0097607A" w14:paraId="20C7AA65"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97607A" w14:paraId="49CC539F" w14:textId="77777777">
                    <w:trPr>
                      <w:tblCellSpacing w:w="0" w:type="dxa"/>
                    </w:trPr>
                    <w:tc>
                      <w:tcPr>
                        <w:tcW w:w="0" w:type="auto"/>
                        <w:shd w:val="clear" w:color="auto" w:fill="FFFFFF"/>
                        <w:vAlign w:val="center"/>
                        <w:hideMark/>
                      </w:tcPr>
                      <w:p w14:paraId="10092490" w14:textId="17BA565B" w:rsidR="0097607A" w:rsidRDefault="0097607A">
                        <w:pP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14:anchorId="3479A19C" wp14:editId="585388F7">
                              <wp:extent cx="5709920" cy="19113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920" cy="191135"/>
                                      </a:xfrm>
                                      <a:prstGeom prst="rect">
                                        <a:avLst/>
                                      </a:prstGeom>
                                      <a:noFill/>
                                      <a:ln>
                                        <a:noFill/>
                                      </a:ln>
                                    </pic:spPr>
                                  </pic:pic>
                                </a:graphicData>
                              </a:graphic>
                            </wp:inline>
                          </w:drawing>
                        </w:r>
                      </w:p>
                    </w:tc>
                  </w:tr>
                </w:tbl>
                <w:p w14:paraId="3EB0D427" w14:textId="77777777" w:rsidR="0097607A" w:rsidRDefault="0097607A">
                  <w:pPr>
                    <w:rPr>
                      <w:rFonts w:ascii="Times New Roman" w:eastAsia="Times New Roman" w:hAnsi="Times New Roman" w:cs="Times New Roman"/>
                      <w:sz w:val="20"/>
                      <w:szCs w:val="20"/>
                    </w:rPr>
                  </w:pPr>
                </w:p>
              </w:tc>
            </w:tr>
          </w:tbl>
          <w:p w14:paraId="26E0B072" w14:textId="77777777" w:rsidR="0097607A" w:rsidRDefault="0097607A">
            <w:pPr>
              <w:rPr>
                <w:rFonts w:ascii="Arial" w:eastAsia="Times New Roman" w:hAnsi="Arial" w:cs="Arial"/>
                <w:vanish/>
                <w:color w:val="000000"/>
                <w:sz w:val="24"/>
                <w:szCs w:val="24"/>
              </w:rPr>
            </w:pPr>
          </w:p>
          <w:tbl>
            <w:tblPr>
              <w:tblW w:w="5000" w:type="pct"/>
              <w:tblCellSpacing w:w="0" w:type="dxa"/>
              <w:tblCellMar>
                <w:left w:w="0" w:type="dxa"/>
                <w:right w:w="0" w:type="dxa"/>
              </w:tblCellMar>
              <w:tblLook w:val="04A0" w:firstRow="1" w:lastRow="0" w:firstColumn="1" w:lastColumn="0" w:noHBand="0" w:noVBand="1"/>
            </w:tblPr>
            <w:tblGrid>
              <w:gridCol w:w="9000"/>
            </w:tblGrid>
            <w:tr w:rsidR="0097607A" w14:paraId="533495F7"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97607A" w14:paraId="0BFF067E" w14:textId="77777777">
                    <w:trPr>
                      <w:tblCellSpacing w:w="0" w:type="dxa"/>
                    </w:trPr>
                    <w:tc>
                      <w:tcPr>
                        <w:tcW w:w="0" w:type="auto"/>
                        <w:shd w:val="clear" w:color="auto" w:fill="FFFFFF"/>
                        <w:tcMar>
                          <w:top w:w="225" w:type="dxa"/>
                          <w:left w:w="0" w:type="dxa"/>
                          <w:bottom w:w="30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97607A" w14:paraId="1CB6CA36" w14:textId="77777777">
                          <w:trPr>
                            <w:tblCellSpacing w:w="0" w:type="dxa"/>
                          </w:trPr>
                          <w:tc>
                            <w:tcPr>
                              <w:tcW w:w="0" w:type="auto"/>
                              <w:vAlign w:val="center"/>
                              <w:hideMark/>
                            </w:tcPr>
                            <w:p w14:paraId="14DDD165" w14:textId="77777777" w:rsidR="0097607A" w:rsidRDefault="0097607A">
                              <w:pPr>
                                <w:rPr>
                                  <w:rFonts w:ascii="Arial" w:eastAsia="Times New Roman" w:hAnsi="Arial" w:cs="Arial"/>
                                  <w:b/>
                                  <w:bCs/>
                                  <w:color w:val="000000"/>
                                  <w:sz w:val="54"/>
                                  <w:szCs w:val="54"/>
                                </w:rPr>
                              </w:pPr>
                              <w:r>
                                <w:rPr>
                                  <w:rFonts w:ascii="Arial" w:eastAsia="Times New Roman" w:hAnsi="Arial" w:cs="Arial"/>
                                  <w:b/>
                                  <w:bCs/>
                                  <w:color w:val="000000"/>
                                  <w:sz w:val="54"/>
                                  <w:szCs w:val="54"/>
                                </w:rPr>
                                <w:t>How the proposed Sandoz spin-off will affect your share or equity awards</w:t>
                              </w:r>
                            </w:p>
                          </w:tc>
                        </w:tr>
                        <w:tr w:rsidR="0097607A" w14:paraId="415A6A5C" w14:textId="77777777">
                          <w:trPr>
                            <w:tblCellSpacing w:w="0" w:type="dxa"/>
                          </w:trPr>
                          <w:tc>
                            <w:tcPr>
                              <w:tcW w:w="0" w:type="auto"/>
                              <w:tcMar>
                                <w:top w:w="90" w:type="dxa"/>
                                <w:left w:w="0" w:type="dxa"/>
                                <w:bottom w:w="0" w:type="dxa"/>
                                <w:right w:w="0" w:type="dxa"/>
                              </w:tcMar>
                              <w:vAlign w:val="center"/>
                              <w:hideMark/>
                            </w:tcPr>
                            <w:p w14:paraId="2B784E23" w14:textId="77777777" w:rsidR="0097607A" w:rsidRDefault="0097607A">
                              <w:pPr>
                                <w:rPr>
                                  <w:rFonts w:ascii="Arial" w:eastAsia="Times New Roman" w:hAnsi="Arial" w:cs="Arial"/>
                                  <w:b/>
                                  <w:bCs/>
                                  <w:color w:val="000000"/>
                                  <w:sz w:val="54"/>
                                  <w:szCs w:val="54"/>
                                </w:rPr>
                              </w:pPr>
                            </w:p>
                          </w:tc>
                        </w:tr>
                      </w:tbl>
                      <w:p w14:paraId="44AF1680" w14:textId="77777777" w:rsidR="0097607A" w:rsidRDefault="0097607A">
                        <w:pPr>
                          <w:rPr>
                            <w:rFonts w:ascii="Times New Roman" w:eastAsia="Times New Roman" w:hAnsi="Times New Roman" w:cs="Times New Roman"/>
                            <w:sz w:val="20"/>
                            <w:szCs w:val="20"/>
                          </w:rPr>
                        </w:pPr>
                      </w:p>
                    </w:tc>
                  </w:tr>
                </w:tbl>
                <w:p w14:paraId="51A8C905" w14:textId="77777777" w:rsidR="0097607A" w:rsidRDefault="0097607A">
                  <w:pPr>
                    <w:rPr>
                      <w:rFonts w:ascii="Times New Roman" w:eastAsia="Times New Roman" w:hAnsi="Times New Roman" w:cs="Times New Roman"/>
                      <w:sz w:val="20"/>
                      <w:szCs w:val="20"/>
                    </w:rPr>
                  </w:pPr>
                </w:p>
              </w:tc>
            </w:tr>
          </w:tbl>
          <w:p w14:paraId="2369F3B5" w14:textId="77777777" w:rsidR="0097607A" w:rsidRDefault="0097607A">
            <w:pPr>
              <w:rPr>
                <w:rFonts w:ascii="Arial" w:eastAsia="Times New Roman" w:hAnsi="Arial" w:cs="Arial"/>
                <w:vanish/>
                <w:color w:val="000000"/>
                <w:sz w:val="24"/>
                <w:szCs w:val="24"/>
              </w:rPr>
            </w:pPr>
          </w:p>
          <w:tbl>
            <w:tblPr>
              <w:tblW w:w="5000" w:type="pct"/>
              <w:tblCellSpacing w:w="0" w:type="dxa"/>
              <w:tblCellMar>
                <w:left w:w="0" w:type="dxa"/>
                <w:right w:w="0" w:type="dxa"/>
              </w:tblCellMar>
              <w:tblLook w:val="04A0" w:firstRow="1" w:lastRow="0" w:firstColumn="1" w:lastColumn="0" w:noHBand="0" w:noVBand="1"/>
            </w:tblPr>
            <w:tblGrid>
              <w:gridCol w:w="9000"/>
            </w:tblGrid>
            <w:tr w:rsidR="0097607A" w14:paraId="04A2E590" w14:textId="77777777">
              <w:trPr>
                <w:tblCellSpacing w:w="0" w:type="dxa"/>
              </w:trPr>
              <w:tc>
                <w:tcPr>
                  <w:tcW w:w="0" w:type="auto"/>
                  <w:tcMar>
                    <w:top w:w="0" w:type="dxa"/>
                    <w:left w:w="0" w:type="dxa"/>
                    <w:bottom w:w="30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97607A" w14:paraId="231CAE1C" w14:textId="77777777">
                    <w:trPr>
                      <w:tblCellSpacing w:w="0" w:type="dxa"/>
                    </w:trPr>
                    <w:tc>
                      <w:tcPr>
                        <w:tcW w:w="0" w:type="auto"/>
                        <w:vAlign w:val="center"/>
                        <w:hideMark/>
                      </w:tcPr>
                      <w:tbl>
                        <w:tblPr>
                          <w:tblW w:w="5000" w:type="pct"/>
                          <w:tblCellMar>
                            <w:left w:w="0" w:type="dxa"/>
                            <w:right w:w="0" w:type="dxa"/>
                          </w:tblCellMar>
                          <w:tblLook w:val="04A0" w:firstRow="1" w:lastRow="0" w:firstColumn="1" w:lastColumn="0" w:noHBand="0" w:noVBand="1"/>
                        </w:tblPr>
                        <w:tblGrid>
                          <w:gridCol w:w="9000"/>
                        </w:tblGrid>
                        <w:tr w:rsidR="0097607A" w14:paraId="380B3D5C" w14:textId="77777777">
                          <w:tc>
                            <w:tcPr>
                              <w:tcW w:w="0" w:type="auto"/>
                              <w:tcBorders>
                                <w:top w:val="nil"/>
                                <w:left w:val="nil"/>
                                <w:bottom w:val="single" w:sz="18" w:space="0" w:color="000000"/>
                                <w:right w:val="nil"/>
                              </w:tcBorders>
                              <w:vAlign w:val="center"/>
                              <w:hideMark/>
                            </w:tcPr>
                            <w:p w14:paraId="32B72B77" w14:textId="77777777" w:rsidR="0097607A" w:rsidRDefault="0097607A">
                              <w:pPr>
                                <w:spacing w:line="0" w:lineRule="atLeast"/>
                                <w:rPr>
                                  <w:rFonts w:ascii="Arial" w:eastAsia="Times New Roman" w:hAnsi="Arial" w:cs="Arial"/>
                                  <w:color w:val="000000"/>
                                  <w:sz w:val="2"/>
                                  <w:szCs w:val="2"/>
                                </w:rPr>
                              </w:pPr>
                              <w:r>
                                <w:rPr>
                                  <w:rFonts w:ascii="Arial" w:eastAsia="Times New Roman" w:hAnsi="Arial" w:cs="Arial"/>
                                  <w:color w:val="000000"/>
                                  <w:sz w:val="2"/>
                                  <w:szCs w:val="2"/>
                                </w:rPr>
                                <w:t xml:space="preserve">  </w:t>
                              </w:r>
                            </w:p>
                          </w:tc>
                        </w:tr>
                        <w:tr w:rsidR="0097607A" w14:paraId="396FE564" w14:textId="77777777">
                          <w:tc>
                            <w:tcPr>
                              <w:tcW w:w="0" w:type="auto"/>
                              <w:vAlign w:val="center"/>
                              <w:hideMark/>
                            </w:tcPr>
                            <w:p w14:paraId="223DD70D" w14:textId="77777777" w:rsidR="0097607A" w:rsidRDefault="0097607A">
                              <w:pPr>
                                <w:spacing w:line="0" w:lineRule="atLeast"/>
                                <w:rPr>
                                  <w:rFonts w:ascii="Arial" w:eastAsia="Times New Roman" w:hAnsi="Arial" w:cs="Arial"/>
                                  <w:color w:val="000000"/>
                                  <w:sz w:val="2"/>
                                  <w:szCs w:val="2"/>
                                </w:rPr>
                              </w:pPr>
                              <w:r>
                                <w:rPr>
                                  <w:rFonts w:ascii="Arial" w:eastAsia="Times New Roman" w:hAnsi="Arial" w:cs="Arial"/>
                                  <w:color w:val="000000"/>
                                  <w:sz w:val="2"/>
                                  <w:szCs w:val="2"/>
                                </w:rPr>
                                <w:t xml:space="preserve">  </w:t>
                              </w:r>
                            </w:p>
                          </w:tc>
                        </w:tr>
                      </w:tbl>
                      <w:p w14:paraId="14BFF4BD" w14:textId="77777777" w:rsidR="0097607A" w:rsidRDefault="0097607A">
                        <w:pPr>
                          <w:rPr>
                            <w:rFonts w:ascii="Times New Roman" w:eastAsia="Times New Roman" w:hAnsi="Times New Roman" w:cs="Times New Roman"/>
                            <w:sz w:val="20"/>
                            <w:szCs w:val="20"/>
                          </w:rPr>
                        </w:pPr>
                      </w:p>
                    </w:tc>
                  </w:tr>
                </w:tbl>
                <w:p w14:paraId="1E502B89" w14:textId="77777777" w:rsidR="0097607A" w:rsidRDefault="0097607A">
                  <w:pPr>
                    <w:rPr>
                      <w:rFonts w:ascii="Times New Roman" w:eastAsia="Times New Roman" w:hAnsi="Times New Roman" w:cs="Times New Roman"/>
                      <w:sz w:val="20"/>
                      <w:szCs w:val="20"/>
                    </w:rPr>
                  </w:pPr>
                </w:p>
              </w:tc>
            </w:tr>
          </w:tbl>
          <w:p w14:paraId="784D8107" w14:textId="77777777" w:rsidR="0097607A" w:rsidRDefault="0097607A">
            <w:pPr>
              <w:rPr>
                <w:rFonts w:ascii="Times New Roman" w:eastAsia="Times New Roman" w:hAnsi="Times New Roman" w:cs="Times New Roman"/>
                <w:sz w:val="20"/>
                <w:szCs w:val="20"/>
              </w:rPr>
            </w:pPr>
          </w:p>
        </w:tc>
      </w:tr>
      <w:tr w:rsidR="0097607A" w14:paraId="4D2662C3" w14:textId="77777777" w:rsidTr="0097607A">
        <w:trPr>
          <w:tblCellSpacing w:w="0" w:type="dxa"/>
          <w:jc w:val="center"/>
        </w:trPr>
        <w:tc>
          <w:tcPr>
            <w:tcW w:w="5000" w:type="pct"/>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97607A" w14:paraId="42775B65" w14:textId="77777777">
              <w:trPr>
                <w:tblCellSpacing w:w="0" w:type="dxa"/>
              </w:trPr>
              <w:tc>
                <w:tcPr>
                  <w:tcW w:w="0" w:type="auto"/>
                  <w:tcMar>
                    <w:top w:w="0" w:type="dxa"/>
                    <w:left w:w="0" w:type="dxa"/>
                    <w:bottom w:w="30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97607A" w14:paraId="7FA0B500" w14:textId="77777777">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97607A" w14:paraId="380FDB2F" w14:textId="77777777">
                          <w:trPr>
                            <w:tblCellSpacing w:w="0" w:type="dxa"/>
                          </w:trPr>
                          <w:tc>
                            <w:tcPr>
                              <w:tcW w:w="0" w:type="auto"/>
                              <w:vAlign w:val="center"/>
                            </w:tcPr>
                            <w:tbl>
                              <w:tblPr>
                                <w:tblW w:w="5000" w:type="pct"/>
                                <w:tblCellSpacing w:w="0" w:type="dxa"/>
                                <w:tblCellMar>
                                  <w:left w:w="0" w:type="dxa"/>
                                  <w:right w:w="0" w:type="dxa"/>
                                </w:tblCellMar>
                                <w:tblLook w:val="04A0" w:firstRow="1" w:lastRow="0" w:firstColumn="1" w:lastColumn="0" w:noHBand="0" w:noVBand="1"/>
                              </w:tblPr>
                              <w:tblGrid>
                                <w:gridCol w:w="9000"/>
                              </w:tblGrid>
                              <w:tr w:rsidR="0097607A" w14:paraId="08A9ADE7"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97607A" w14:paraId="682D5F2D" w14:textId="77777777">
                                      <w:trPr>
                                        <w:tblCellSpacing w:w="0" w:type="dxa"/>
                                      </w:trPr>
                                      <w:tc>
                                        <w:tcPr>
                                          <w:tcW w:w="0" w:type="auto"/>
                                          <w:vAlign w:val="center"/>
                                          <w:hideMark/>
                                        </w:tcPr>
                                        <w:p w14:paraId="6FCD0572" w14:textId="77777777" w:rsidR="0097607A" w:rsidRDefault="0097607A">
                                          <w:pPr>
                                            <w:pStyle w:val="NormalWeb"/>
                                            <w:spacing w:after="240"/>
                                            <w:rPr>
                                              <w:rFonts w:ascii="Arial" w:hAnsi="Arial" w:cs="Arial"/>
                                              <w:color w:val="000000"/>
                                              <w:sz w:val="24"/>
                                              <w:szCs w:val="24"/>
                                            </w:rPr>
                                          </w:pPr>
                                          <w:r>
                                            <w:rPr>
                                              <w:rFonts w:ascii="Arial" w:hAnsi="Arial" w:cs="Arial"/>
                                              <w:color w:val="000000"/>
                                              <w:sz w:val="21"/>
                                              <w:szCs w:val="21"/>
                                            </w:rPr>
                                            <w:t>Dear Colleagues,</w:t>
                                          </w:r>
                                          <w:r>
                                            <w:rPr>
                                              <w:rFonts w:ascii="Arial" w:hAnsi="Arial" w:cs="Arial"/>
                                              <w:color w:val="000000"/>
                                              <w:sz w:val="21"/>
                                              <w:szCs w:val="21"/>
                                            </w:rPr>
                                            <w:br/>
                                          </w:r>
                                          <w:r>
                                            <w:rPr>
                                              <w:rFonts w:ascii="Arial" w:hAnsi="Arial" w:cs="Arial"/>
                                              <w:color w:val="000000"/>
                                              <w:sz w:val="21"/>
                                              <w:szCs w:val="21"/>
                                            </w:rPr>
                                            <w:br/>
                                            <w:t>Following the </w:t>
                                          </w:r>
                                          <w:hyperlink r:id="rId9" w:tooltip="http://novartisgrouphr.newsweaver.com/314pcci5vi/1g0oodffin9b3sred5smn2/external?email=true&amp;a=5&amp;p=10999474&amp;t=3978462" w:history="1">
                                            <w:r>
                                              <w:rPr>
                                                <w:rStyle w:val="Hyperlink"/>
                                                <w:rFonts w:ascii="Arial" w:hAnsi="Arial" w:cs="Arial"/>
                                                <w:b/>
                                                <w:bCs/>
                                                <w:color w:val="0460A9"/>
                                                <w:sz w:val="21"/>
                                                <w:szCs w:val="21"/>
                                              </w:rPr>
                                              <w:t>announcement</w:t>
                                            </w:r>
                                          </w:hyperlink>
                                          <w:r>
                                            <w:rPr>
                                              <w:rFonts w:ascii="Arial" w:hAnsi="Arial" w:cs="Arial"/>
                                              <w:color w:val="000000"/>
                                              <w:sz w:val="21"/>
                                              <w:szCs w:val="21"/>
                                            </w:rPr>
                                            <w:t> on August 18, 2023, Novartis intends to seek shareholder approval at the Extraordinary General Meeting on September 15, 2023, to separate the Sandoz generic division from Novartis. This would happen through a 100% spin-off on or around October 4, 2023. If approved, the transaction will impact all Novartis shareholders including associates holding Novartis shares in private brokerage accounts and associates participating in equity plans. </w:t>
                                          </w:r>
                                          <w:r>
                                            <w:rPr>
                                              <w:rFonts w:ascii="Arial" w:hAnsi="Arial" w:cs="Arial"/>
                                              <w:color w:val="000000"/>
                                              <w:sz w:val="21"/>
                                              <w:szCs w:val="21"/>
                                            </w:rPr>
                                            <w:br/>
                                          </w:r>
                                          <w:r>
                                            <w:rPr>
                                              <w:rFonts w:ascii="Arial" w:hAnsi="Arial" w:cs="Arial"/>
                                              <w:color w:val="000000"/>
                                              <w:sz w:val="21"/>
                                              <w:szCs w:val="21"/>
                                            </w:rPr>
                                            <w:br/>
                                            <w:t>Our strategic review of Sandoz concluded that a spin-off would be in the best interests of Novartis shareholders, including equity plan participants. To complete the planned transaction, new shares will be created in Sandoz, which would become an independent, publicly traded company listed on the SIX Swiss Exchange. We have closely engaged our legal and tax advisors to maintain the monetary value of your Novartis equity on the proposed spin-off date*.</w:t>
                                          </w:r>
                                        </w:p>
                                        <w:tbl>
                                          <w:tblPr>
                                            <w:tblW w:w="4924" w:type="pct"/>
                                            <w:shd w:val="clear" w:color="auto" w:fill="0460A9"/>
                                            <w:tblCellMar>
                                              <w:left w:w="0" w:type="dxa"/>
                                              <w:right w:w="0" w:type="dxa"/>
                                            </w:tblCellMar>
                                            <w:tblLook w:val="04A0" w:firstRow="1" w:lastRow="0" w:firstColumn="1" w:lastColumn="0" w:noHBand="0" w:noVBand="1"/>
                                          </w:tblPr>
                                          <w:tblGrid>
                                            <w:gridCol w:w="8863"/>
                                          </w:tblGrid>
                                          <w:tr w:rsidR="0097607A" w14:paraId="4A89BC5A" w14:textId="77777777">
                                            <w:tc>
                                              <w:tcPr>
                                                <w:tcW w:w="5000" w:type="pct"/>
                                                <w:shd w:val="clear" w:color="auto" w:fill="0460A9"/>
                                                <w:vAlign w:val="center"/>
                                                <w:hideMark/>
                                              </w:tcPr>
                                              <w:p w14:paraId="2756DDDA" w14:textId="77777777" w:rsidR="0097607A" w:rsidRDefault="0097607A">
                                                <w:pPr>
                                                  <w:rPr>
                                                    <w:rFonts w:ascii="Arial" w:eastAsia="Times New Roman" w:hAnsi="Arial" w:cs="Arial"/>
                                                    <w:color w:val="000000"/>
                                                    <w:sz w:val="24"/>
                                                    <w:szCs w:val="24"/>
                                                  </w:rPr>
                                                </w:pPr>
                                                <w:r>
                                                  <w:rPr>
                                                    <w:rStyle w:val="Strong"/>
                                                    <w:rFonts w:ascii="Arial" w:eastAsia="Times New Roman" w:hAnsi="Arial" w:cs="Arial"/>
                                                    <w:color w:val="FFFFFF"/>
                                                    <w:sz w:val="23"/>
                                                    <w:szCs w:val="23"/>
                                                  </w:rPr>
                                                  <w:t> What this means for you</w:t>
                                                </w:r>
                                              </w:p>
                                            </w:tc>
                                          </w:tr>
                                        </w:tbl>
                                        <w:p w14:paraId="210B9F77" w14:textId="77777777" w:rsidR="0097607A" w:rsidRDefault="0097607A">
                                          <w:pPr>
                                            <w:pStyle w:val="NormalWeb"/>
                                            <w:spacing w:line="336" w:lineRule="auto"/>
                                            <w:rPr>
                                              <w:rFonts w:ascii="Arial" w:hAnsi="Arial" w:cs="Arial"/>
                                              <w:color w:val="000000"/>
                                              <w:sz w:val="24"/>
                                              <w:szCs w:val="24"/>
                                            </w:rPr>
                                          </w:pPr>
                                          <w:r>
                                            <w:rPr>
                                              <w:rFonts w:ascii="Arial" w:hAnsi="Arial" w:cs="Arial"/>
                                              <w:color w:val="000000"/>
                                              <w:sz w:val="24"/>
                                              <w:szCs w:val="24"/>
                                            </w:rPr>
                                            <w:t> </w:t>
                                          </w:r>
                                        </w:p>
                                        <w:tbl>
                                          <w:tblPr>
                                            <w:tblW w:w="4924" w:type="pct"/>
                                            <w:tblBorders>
                                              <w:top w:val="dotted" w:sz="4" w:space="0" w:color="0460A9"/>
                                              <w:left w:val="dotted" w:sz="4" w:space="0" w:color="0460A9"/>
                                              <w:bottom w:val="dotted" w:sz="4" w:space="0" w:color="0460A9"/>
                                              <w:right w:val="dotted" w:sz="4" w:space="0" w:color="0460A9"/>
                                            </w:tblBorders>
                                            <w:shd w:val="clear" w:color="auto" w:fill="FFFFFF"/>
                                            <w:tblCellMar>
                                              <w:left w:w="0" w:type="dxa"/>
                                              <w:right w:w="0" w:type="dxa"/>
                                            </w:tblCellMar>
                                            <w:tblLook w:val="04A0" w:firstRow="1" w:lastRow="0" w:firstColumn="1" w:lastColumn="0" w:noHBand="0" w:noVBand="1"/>
                                          </w:tblPr>
                                          <w:tblGrid>
                                            <w:gridCol w:w="8863"/>
                                          </w:tblGrid>
                                          <w:tr w:rsidR="0097607A" w14:paraId="6E1497F6" w14:textId="77777777">
                                            <w:tc>
                                              <w:tcPr>
                                                <w:tcW w:w="5000" w:type="pct"/>
                                                <w:tcBorders>
                                                  <w:top w:val="nil"/>
                                                  <w:left w:val="nil"/>
                                                  <w:bottom w:val="nil"/>
                                                  <w:right w:val="nil"/>
                                                </w:tcBorders>
                                                <w:shd w:val="clear" w:color="auto" w:fill="FFFFFF"/>
                                                <w:vAlign w:val="center"/>
                                                <w:hideMark/>
                                              </w:tcPr>
                                              <w:p w14:paraId="55F158BE" w14:textId="77777777" w:rsidR="0097607A" w:rsidRDefault="0097607A" w:rsidP="0028064C">
                                                <w:pPr>
                                                  <w:numPr>
                                                    <w:ilvl w:val="0"/>
                                                    <w:numId w:val="1"/>
                                                  </w:numPr>
                                                  <w:ind w:left="1080" w:hanging="240"/>
                                                  <w:rPr>
                                                    <w:rFonts w:ascii="Arial" w:eastAsia="Times New Roman" w:hAnsi="Arial" w:cs="Arial"/>
                                                    <w:color w:val="000000"/>
                                                    <w:sz w:val="21"/>
                                                    <w:szCs w:val="21"/>
                                                  </w:rPr>
                                                </w:pPr>
                                                <w:r>
                                                  <w:rPr>
                                                    <w:rFonts w:ascii="Arial" w:eastAsia="Times New Roman" w:hAnsi="Arial" w:cs="Arial"/>
                                                    <w:color w:val="000000"/>
                                                    <w:sz w:val="21"/>
                                                    <w:szCs w:val="21"/>
                                                  </w:rPr>
                                                  <w:t xml:space="preserve">Holders of </w:t>
                                                </w:r>
                                                <w:r>
                                                  <w:rPr>
                                                    <w:rStyle w:val="Emphasis"/>
                                                    <w:rFonts w:ascii="Arial" w:eastAsia="Times New Roman" w:hAnsi="Arial" w:cs="Arial"/>
                                                    <w:b/>
                                                    <w:bCs/>
                                                    <w:color w:val="000000"/>
                                                    <w:sz w:val="21"/>
                                                    <w:szCs w:val="21"/>
                                                  </w:rPr>
                                                  <w:t>vested</w:t>
                                                </w:r>
                                                <w:r>
                                                  <w:rPr>
                                                    <w:rFonts w:ascii="Arial" w:eastAsia="Times New Roman" w:hAnsi="Arial" w:cs="Arial"/>
                                                    <w:color w:val="000000"/>
                                                    <w:sz w:val="21"/>
                                                    <w:szCs w:val="21"/>
                                                  </w:rPr>
                                                  <w:t xml:space="preserve"> Novartis shares (and American Depositary Receipts ADRs) would receive a ‘dividend in kind’ of Sandoz shares.</w:t>
                                                </w:r>
                                              </w:p>
                                              <w:p w14:paraId="26E659ED" w14:textId="77777777" w:rsidR="0097607A" w:rsidRDefault="0097607A" w:rsidP="0028064C">
                                                <w:pPr>
                                                  <w:numPr>
                                                    <w:ilvl w:val="0"/>
                                                    <w:numId w:val="1"/>
                                                  </w:numPr>
                                                  <w:ind w:left="1080" w:hanging="240"/>
                                                  <w:rPr>
                                                    <w:rFonts w:ascii="Arial" w:eastAsia="Times New Roman" w:hAnsi="Arial" w:cs="Arial"/>
                                                    <w:color w:val="000000"/>
                                                    <w:sz w:val="24"/>
                                                    <w:szCs w:val="24"/>
                                                  </w:rPr>
                                                </w:pPr>
                                                <w:r>
                                                  <w:rPr>
                                                    <w:rFonts w:ascii="Arial" w:eastAsia="Times New Roman" w:hAnsi="Arial" w:cs="Arial"/>
                                                    <w:color w:val="000000"/>
                                                    <w:sz w:val="21"/>
                                                    <w:szCs w:val="21"/>
                                                  </w:rPr>
                                                  <w:t xml:space="preserve">Holders of </w:t>
                                                </w:r>
                                                <w:r>
                                                  <w:rPr>
                                                    <w:rStyle w:val="Emphasis"/>
                                                    <w:rFonts w:ascii="Arial" w:eastAsia="Times New Roman" w:hAnsi="Arial" w:cs="Arial"/>
                                                    <w:b/>
                                                    <w:bCs/>
                                                    <w:color w:val="000000"/>
                                                    <w:sz w:val="21"/>
                                                    <w:szCs w:val="21"/>
                                                  </w:rPr>
                                                  <w:t>unvested</w:t>
                                                </w:r>
                                                <w:r>
                                                  <w:rPr>
                                                    <w:rFonts w:ascii="Arial" w:eastAsia="Times New Roman" w:hAnsi="Arial" w:cs="Arial"/>
                                                    <w:color w:val="000000"/>
                                                    <w:sz w:val="21"/>
                                                    <w:szCs w:val="21"/>
                                                  </w:rPr>
                                                  <w:t xml:space="preserve"> Novartis shares and ADRs would receive additional unvested shares through an ‘equity restoration process.’ </w:t>
                                                </w:r>
                                              </w:p>
                                            </w:tc>
                                          </w:tr>
                                        </w:tbl>
                                        <w:p w14:paraId="2716A16B" w14:textId="77777777" w:rsidR="0097607A" w:rsidRDefault="0097607A">
                                          <w:pPr>
                                            <w:pStyle w:val="NormalWeb"/>
                                            <w:spacing w:line="336" w:lineRule="auto"/>
                                            <w:rPr>
                                              <w:rFonts w:ascii="Arial" w:hAnsi="Arial" w:cs="Arial"/>
                                              <w:color w:val="000000"/>
                                              <w:sz w:val="24"/>
                                              <w:szCs w:val="24"/>
                                            </w:rPr>
                                          </w:pPr>
                                          <w:r>
                                            <w:rPr>
                                              <w:rFonts w:ascii="Arial" w:hAnsi="Arial" w:cs="Arial"/>
                                              <w:color w:val="000000"/>
                                              <w:sz w:val="24"/>
                                              <w:szCs w:val="24"/>
                                            </w:rPr>
                                            <w:t> </w:t>
                                          </w:r>
                                        </w:p>
                                        <w:tbl>
                                          <w:tblPr>
                                            <w:tblW w:w="4924" w:type="pct"/>
                                            <w:tblCellMar>
                                              <w:left w:w="0" w:type="dxa"/>
                                              <w:right w:w="0" w:type="dxa"/>
                                            </w:tblCellMar>
                                            <w:tblLook w:val="04A0" w:firstRow="1" w:lastRow="0" w:firstColumn="1" w:lastColumn="0" w:noHBand="0" w:noVBand="1"/>
                                          </w:tblPr>
                                          <w:tblGrid>
                                            <w:gridCol w:w="8863"/>
                                          </w:tblGrid>
                                          <w:tr w:rsidR="0097607A" w14:paraId="2F9C4497" w14:textId="77777777">
                                            <w:tc>
                                              <w:tcPr>
                                                <w:tcW w:w="4990" w:type="pct"/>
                                                <w:vAlign w:val="center"/>
                                                <w:hideMark/>
                                              </w:tcPr>
                                              <w:p w14:paraId="2A3B52D3" w14:textId="77777777" w:rsidR="0097607A" w:rsidRDefault="0097607A">
                                                <w:pPr>
                                                  <w:pStyle w:val="NormalWeb"/>
                                                  <w:spacing w:after="240"/>
                                                  <w:rPr>
                                                    <w:rFonts w:ascii="Arial" w:hAnsi="Arial" w:cs="Arial"/>
                                                    <w:color w:val="000000"/>
                                                    <w:sz w:val="24"/>
                                                    <w:szCs w:val="24"/>
                                                  </w:rPr>
                                                </w:pPr>
                                                <w:r>
                                                  <w:rPr>
                                                    <w:rFonts w:ascii="Arial" w:hAnsi="Arial" w:cs="Arial"/>
                                                    <w:color w:val="000000"/>
                                                    <w:sz w:val="21"/>
                                                    <w:szCs w:val="21"/>
                                                  </w:rPr>
                                                  <w:t xml:space="preserve">We have prepared the following guidance material to help you understand which scenario(s) will apply to your equity holding </w:t>
                                                </w:r>
                                                <w:proofErr w:type="gramStart"/>
                                                <w:r>
                                                  <w:rPr>
                                                    <w:rFonts w:ascii="Arial" w:hAnsi="Arial" w:cs="Arial"/>
                                                    <w:color w:val="000000"/>
                                                    <w:sz w:val="21"/>
                                                    <w:szCs w:val="21"/>
                                                  </w:rPr>
                                                  <w:t>as a result of</w:t>
                                                </w:r>
                                                <w:proofErr w:type="gramEnd"/>
                                                <w:r>
                                                  <w:rPr>
                                                    <w:rFonts w:ascii="Arial" w:hAnsi="Arial" w:cs="Arial"/>
                                                    <w:color w:val="000000"/>
                                                    <w:sz w:val="21"/>
                                                    <w:szCs w:val="21"/>
                                                  </w:rPr>
                                                  <w:t xml:space="preserve"> the proposed spin-off:</w:t>
                                                </w:r>
                                              </w:p>
                                              <w:p w14:paraId="40E53109" w14:textId="77777777" w:rsidR="0097607A" w:rsidRDefault="0097607A" w:rsidP="0028064C">
                                                <w:pPr>
                                                  <w:numPr>
                                                    <w:ilvl w:val="0"/>
                                                    <w:numId w:val="2"/>
                                                  </w:numPr>
                                                  <w:ind w:left="1080" w:hanging="240"/>
                                                  <w:rPr>
                                                    <w:rFonts w:ascii="Arial" w:eastAsia="Times New Roman" w:hAnsi="Arial" w:cs="Arial"/>
                                                    <w:color w:val="000000"/>
                                                    <w:sz w:val="21"/>
                                                    <w:szCs w:val="21"/>
                                                  </w:rPr>
                                                </w:pPr>
                                                <w:hyperlink r:id="rId10" w:tooltip="http://novartisgrouphr.newsweaver.com/314pcci5vi/1bybwazm3meb3sred5smn2/external?email=true&amp;a=5&amp;p=10999474&amp;t=3978462" w:history="1">
                                                  <w:r>
                                                    <w:rPr>
                                                      <w:rStyle w:val="Hyperlink"/>
                                                      <w:rFonts w:ascii="Arial" w:eastAsia="Times New Roman" w:hAnsi="Arial" w:cs="Arial"/>
                                                      <w:b/>
                                                      <w:bCs/>
                                                      <w:color w:val="0460A9"/>
                                                      <w:sz w:val="21"/>
                                                      <w:szCs w:val="21"/>
                                                    </w:rPr>
                                                    <w:t>Equity plan participation for associates remaining with Novartis in relation to the proposed Sandoz spin-off</w:t>
                                                  </w:r>
                                                </w:hyperlink>
                                                <w:r>
                                                  <w:rPr>
                                                    <w:rFonts w:ascii="Arial" w:eastAsia="Times New Roman" w:hAnsi="Arial" w:cs="Arial"/>
                                                    <w:color w:val="000000"/>
                                                    <w:sz w:val="21"/>
                                                    <w:szCs w:val="21"/>
                                                  </w:rPr>
                                                  <w:t> </w:t>
                                                </w:r>
                                              </w:p>
                                              <w:p w14:paraId="3396EB94" w14:textId="77777777" w:rsidR="0097607A" w:rsidRDefault="0097607A" w:rsidP="0028064C">
                                                <w:pPr>
                                                  <w:numPr>
                                                    <w:ilvl w:val="0"/>
                                                    <w:numId w:val="2"/>
                                                  </w:numPr>
                                                  <w:ind w:left="1080" w:hanging="240"/>
                                                  <w:rPr>
                                                    <w:rFonts w:ascii="Arial" w:eastAsia="Times New Roman" w:hAnsi="Arial" w:cs="Arial"/>
                                                    <w:color w:val="000000"/>
                                                    <w:sz w:val="21"/>
                                                    <w:szCs w:val="21"/>
                                                  </w:rPr>
                                                </w:pPr>
                                                <w:hyperlink r:id="rId11" w:tooltip="http://novartisgrouphr.newsweaver.com/314pcci5vi/1tzk8zfmhjib3sred5smn2/external?email=true&amp;a=5&amp;p=10999474&amp;t=3978462" w:history="1">
                                                  <w:r>
                                                    <w:rPr>
                                                      <w:rStyle w:val="Hyperlink"/>
                                                      <w:rFonts w:ascii="Arial" w:eastAsia="Times New Roman" w:hAnsi="Arial" w:cs="Arial"/>
                                                      <w:b/>
                                                      <w:bCs/>
                                                      <w:color w:val="0460A9"/>
                                                      <w:sz w:val="21"/>
                                                      <w:szCs w:val="21"/>
                                                    </w:rPr>
                                                    <w:t>Equity plan participation for associates transferring to Sandoz in relation to the proposed Sandoz spin-off</w:t>
                                                  </w:r>
                                                </w:hyperlink>
                                              </w:p>
                                              <w:p w14:paraId="3FD86748" w14:textId="77777777" w:rsidR="0097607A" w:rsidRDefault="0097607A" w:rsidP="0028064C">
                                                <w:pPr>
                                                  <w:numPr>
                                                    <w:ilvl w:val="0"/>
                                                    <w:numId w:val="2"/>
                                                  </w:numPr>
                                                  <w:ind w:left="1080" w:hanging="240"/>
                                                  <w:rPr>
                                                    <w:rFonts w:ascii="Arial" w:eastAsia="Times New Roman" w:hAnsi="Arial" w:cs="Arial"/>
                                                    <w:color w:val="000000"/>
                                                    <w:sz w:val="21"/>
                                                    <w:szCs w:val="21"/>
                                                  </w:rPr>
                                                </w:pPr>
                                                <w:hyperlink r:id="rId12" w:tooltip="http://novartisgrouphr.newsweaver.com/314pcci5vi/6iofkavrui9b3sred5smn2/external?email=true&amp;a=5&amp;p=10999474&amp;t=3978462" w:history="1">
                                                  <w:r>
                                                    <w:rPr>
                                                      <w:rStyle w:val="Hyperlink"/>
                                                      <w:rFonts w:ascii="Arial" w:eastAsia="Times New Roman" w:hAnsi="Arial" w:cs="Arial"/>
                                                      <w:b/>
                                                      <w:bCs/>
                                                      <w:color w:val="0460A9"/>
                                                      <w:sz w:val="21"/>
                                                      <w:szCs w:val="21"/>
                                                    </w:rPr>
                                                    <w:t>Equity restoration summary for Sandoz associates</w:t>
                                                  </w:r>
                                                </w:hyperlink>
                                              </w:p>
                                              <w:p w14:paraId="6BFEF8D0" w14:textId="77777777" w:rsidR="0097607A" w:rsidRDefault="0097607A" w:rsidP="0028064C">
                                                <w:pPr>
                                                  <w:numPr>
                                                    <w:ilvl w:val="0"/>
                                                    <w:numId w:val="2"/>
                                                  </w:numPr>
                                                  <w:ind w:left="1080" w:hanging="240"/>
                                                  <w:rPr>
                                                    <w:rFonts w:ascii="Arial" w:eastAsia="Times New Roman" w:hAnsi="Arial" w:cs="Arial"/>
                                                    <w:color w:val="000000"/>
                                                    <w:sz w:val="17"/>
                                                    <w:szCs w:val="17"/>
                                                  </w:rPr>
                                                </w:pPr>
                                                <w:hyperlink r:id="rId13" w:tgtFrame="_blank" w:history="1">
                                                  <w:r>
                                                    <w:rPr>
                                                      <w:rStyle w:val="Hyperlink"/>
                                                      <w:rFonts w:ascii="Arial" w:eastAsia="Times New Roman" w:hAnsi="Arial" w:cs="Arial"/>
                                                      <w:b/>
                                                      <w:bCs/>
                                                      <w:color w:val="0460A9"/>
                                                      <w:sz w:val="21"/>
                                                      <w:szCs w:val="21"/>
                                                    </w:rPr>
                                                    <w:t>Video: Sandoz equity</w:t>
                                                  </w:r>
                                                </w:hyperlink>
                                              </w:p>
                                            </w:tc>
                                          </w:tr>
                                        </w:tbl>
                                        <w:p w14:paraId="1900269B" w14:textId="77777777" w:rsidR="0097607A" w:rsidRDefault="0097607A">
                                          <w:pPr>
                                            <w:pStyle w:val="NormalWeb"/>
                                            <w:rPr>
                                              <w:rFonts w:ascii="Arial" w:hAnsi="Arial" w:cs="Arial"/>
                                              <w:color w:val="000000"/>
                                            </w:rPr>
                                          </w:pPr>
                                          <w:r>
                                            <w:rPr>
                                              <w:rFonts w:ascii="Arial" w:hAnsi="Arial" w:cs="Arial"/>
                                              <w:color w:val="000000"/>
                                              <w:sz w:val="21"/>
                                              <w:szCs w:val="21"/>
                                            </w:rPr>
                                            <w:br/>
                                            <w:t>After the spin-off, associates holding unvested equity will receive an example on how keep whole awards are calculated based on share prices post spin-off. </w:t>
                                          </w:r>
                                          <w:r>
                                            <w:rPr>
                                              <w:rFonts w:ascii="Arial" w:hAnsi="Arial" w:cs="Arial"/>
                                              <w:color w:val="000000"/>
                                              <w:sz w:val="21"/>
                                              <w:szCs w:val="21"/>
                                            </w:rPr>
                                            <w:br/>
                                          </w:r>
                                          <w:r>
                                            <w:rPr>
                                              <w:rFonts w:ascii="Arial" w:hAnsi="Arial" w:cs="Arial"/>
                                              <w:color w:val="000000"/>
                                              <w:sz w:val="21"/>
                                              <w:szCs w:val="21"/>
                                            </w:rPr>
                                            <w:br/>
                                            <w:t>To further support your understanding, please refer to the FAQ included in the above guidance materials. They also include dedicated addresses you could write to for any additional questions. We are committed to responding as quickly and efficiently as possible. </w:t>
                                          </w:r>
                                          <w:r>
                                            <w:rPr>
                                              <w:rFonts w:ascii="Arial" w:hAnsi="Arial" w:cs="Arial"/>
                                              <w:color w:val="000000"/>
                                              <w:sz w:val="21"/>
                                              <w:szCs w:val="21"/>
                                            </w:rPr>
                                            <w:br/>
                                          </w:r>
                                          <w:r>
                                            <w:rPr>
                                              <w:rFonts w:ascii="Arial" w:hAnsi="Arial" w:cs="Arial"/>
                                              <w:color w:val="000000"/>
                                              <w:sz w:val="21"/>
                                              <w:szCs w:val="21"/>
                                            </w:rPr>
                                            <w:br/>
                                            <w:t>There is no action required by you at the current time. Further updates will be shared with you prior to the spin-off date.</w:t>
                                          </w:r>
                                          <w:r>
                                            <w:rPr>
                                              <w:rFonts w:ascii="Arial" w:hAnsi="Arial" w:cs="Arial"/>
                                              <w:color w:val="000000"/>
                                              <w:sz w:val="21"/>
                                              <w:szCs w:val="21"/>
                                            </w:rPr>
                                            <w:br/>
                                          </w:r>
                                          <w:r>
                                            <w:rPr>
                                              <w:rFonts w:ascii="Arial" w:hAnsi="Arial" w:cs="Arial"/>
                                              <w:color w:val="000000"/>
                                              <w:sz w:val="21"/>
                                              <w:szCs w:val="21"/>
                                            </w:rPr>
                                            <w:lastRenderedPageBreak/>
                                            <w:br/>
                                            <w:t>Best regards,</w:t>
                                          </w:r>
                                          <w:r>
                                            <w:rPr>
                                              <w:rFonts w:ascii="Arial" w:hAnsi="Arial" w:cs="Arial"/>
                                              <w:color w:val="000000"/>
                                              <w:sz w:val="21"/>
                                              <w:szCs w:val="21"/>
                                            </w:rPr>
                                            <w:br/>
                                          </w:r>
                                          <w:r>
                                            <w:rPr>
                                              <w:rFonts w:ascii="Arial" w:hAnsi="Arial" w:cs="Arial"/>
                                              <w:color w:val="000000"/>
                                              <w:sz w:val="21"/>
                                              <w:szCs w:val="21"/>
                                            </w:rPr>
                                            <w:br/>
                                          </w:r>
                                          <w:r>
                                            <w:rPr>
                                              <w:rStyle w:val="Strong"/>
                                              <w:rFonts w:ascii="Arial" w:hAnsi="Arial" w:cs="Arial"/>
                                              <w:color w:val="000000"/>
                                              <w:sz w:val="21"/>
                                              <w:szCs w:val="21"/>
                                            </w:rPr>
                                            <w:t>Philippe </w:t>
                                          </w:r>
                                          <w:proofErr w:type="spellStart"/>
                                          <w:r>
                                            <w:rPr>
                                              <w:rStyle w:val="Strong"/>
                                              <w:rFonts w:ascii="Arial" w:hAnsi="Arial" w:cs="Arial"/>
                                              <w:color w:val="000000"/>
                                              <w:sz w:val="21"/>
                                              <w:szCs w:val="21"/>
                                            </w:rPr>
                                            <w:t>Waty</w:t>
                                          </w:r>
                                          <w:proofErr w:type="spellEnd"/>
                                        </w:p>
                                        <w:p w14:paraId="35D5C24E" w14:textId="77777777" w:rsidR="0097607A" w:rsidRDefault="0097607A">
                                          <w:pPr>
                                            <w:pStyle w:val="NormalWeb"/>
                                            <w:spacing w:after="240"/>
                                            <w:rPr>
                                              <w:rFonts w:ascii="Arial" w:hAnsi="Arial" w:cs="Arial"/>
                                              <w:color w:val="000000"/>
                                              <w:sz w:val="24"/>
                                              <w:szCs w:val="24"/>
                                            </w:rPr>
                                          </w:pPr>
                                          <w:r>
                                            <w:rPr>
                                              <w:rFonts w:ascii="Arial" w:hAnsi="Arial" w:cs="Arial"/>
                                              <w:color w:val="000000"/>
                                              <w:sz w:val="21"/>
                                              <w:szCs w:val="21"/>
                                            </w:rPr>
                                            <w:t>Head, Total Rewards</w:t>
                                          </w:r>
                                        </w:p>
                                        <w:p w14:paraId="648BF470" w14:textId="77777777" w:rsidR="0097607A" w:rsidRDefault="0097607A">
                                          <w:pPr>
                                            <w:pStyle w:val="NormalWeb"/>
                                            <w:rPr>
                                              <w:rFonts w:ascii="Arial" w:hAnsi="Arial" w:cs="Arial"/>
                                              <w:color w:val="000000"/>
                                              <w:sz w:val="24"/>
                                              <w:szCs w:val="24"/>
                                            </w:rPr>
                                          </w:pPr>
                                          <w:r>
                                            <w:rPr>
                                              <w:rStyle w:val="Emphasis"/>
                                              <w:rFonts w:ascii="Arial" w:hAnsi="Arial" w:cs="Arial"/>
                                              <w:color w:val="000000"/>
                                              <w:sz w:val="18"/>
                                              <w:szCs w:val="18"/>
                                            </w:rPr>
                                            <w:t xml:space="preserve">*Note: Novartis and Sandoz are not responsible for the general market development and performance of the price of their shares. Share prices are liable to fluctuate as per normal market dynamics. The decision to hold or dispose </w:t>
                                          </w:r>
                                          <w:proofErr w:type="spellStart"/>
                                          <w:r>
                                            <w:rPr>
                                              <w:rStyle w:val="Emphasis"/>
                                              <w:rFonts w:ascii="Arial" w:hAnsi="Arial" w:cs="Arial"/>
                                              <w:color w:val="000000"/>
                                              <w:sz w:val="18"/>
                                              <w:szCs w:val="18"/>
                                            </w:rPr>
                                            <w:t>off</w:t>
                                          </w:r>
                                          <w:proofErr w:type="spellEnd"/>
                                          <w:r>
                                            <w:rPr>
                                              <w:rStyle w:val="Emphasis"/>
                                              <w:rFonts w:ascii="Arial" w:hAnsi="Arial" w:cs="Arial"/>
                                              <w:color w:val="000000"/>
                                              <w:sz w:val="18"/>
                                              <w:szCs w:val="18"/>
                                            </w:rPr>
                                            <w:t xml:space="preserve"> equity is at the discretion of individual equity holders.</w:t>
                                          </w:r>
                                        </w:p>
                                      </w:tc>
                                    </w:tr>
                                  </w:tbl>
                                  <w:p w14:paraId="2FA9302B" w14:textId="77777777" w:rsidR="0097607A" w:rsidRDefault="0097607A">
                                    <w:pPr>
                                      <w:rPr>
                                        <w:rFonts w:ascii="Times New Roman" w:eastAsia="Times New Roman" w:hAnsi="Times New Roman" w:cs="Times New Roman"/>
                                        <w:sz w:val="20"/>
                                        <w:szCs w:val="20"/>
                                      </w:rPr>
                                    </w:pPr>
                                  </w:p>
                                </w:tc>
                              </w:tr>
                            </w:tbl>
                            <w:p w14:paraId="708126F2" w14:textId="77777777" w:rsidR="0097607A" w:rsidRDefault="0097607A">
                              <w:pPr>
                                <w:rPr>
                                  <w:rFonts w:ascii="Arial" w:eastAsia="Times New Roman" w:hAnsi="Arial" w:cs="Arial"/>
                                  <w:vanish/>
                                  <w:color w:val="000000"/>
                                  <w:sz w:val="24"/>
                                  <w:szCs w:val="24"/>
                                </w:rPr>
                              </w:pPr>
                            </w:p>
                            <w:tbl>
                              <w:tblPr>
                                <w:tblW w:w="5000" w:type="pct"/>
                                <w:tblCellMar>
                                  <w:left w:w="0" w:type="dxa"/>
                                  <w:right w:w="0" w:type="dxa"/>
                                </w:tblCellMar>
                                <w:tblLook w:val="04A0" w:firstRow="1" w:lastRow="0" w:firstColumn="1" w:lastColumn="0" w:noHBand="0" w:noVBand="1"/>
                              </w:tblPr>
                              <w:tblGrid>
                                <w:gridCol w:w="9000"/>
                              </w:tblGrid>
                              <w:tr w:rsidR="0097607A" w14:paraId="513F6034" w14:textId="77777777">
                                <w:tc>
                                  <w:tcPr>
                                    <w:tcW w:w="0" w:type="auto"/>
                                    <w:vAlign w:val="center"/>
                                    <w:hideMark/>
                                  </w:tcPr>
                                  <w:p w14:paraId="25BFFC50" w14:textId="77777777" w:rsidR="0097607A" w:rsidRDefault="0097607A">
                                    <w:pPr>
                                      <w:spacing w:line="0" w:lineRule="atLeast"/>
                                      <w:rPr>
                                        <w:rFonts w:ascii="Arial" w:eastAsia="Times New Roman" w:hAnsi="Arial" w:cs="Arial"/>
                                        <w:color w:val="000000"/>
                                        <w:sz w:val="2"/>
                                        <w:szCs w:val="2"/>
                                      </w:rPr>
                                    </w:pPr>
                                    <w:r>
                                      <w:rPr>
                                        <w:rFonts w:ascii="Arial" w:eastAsia="Times New Roman" w:hAnsi="Arial" w:cs="Arial"/>
                                        <w:color w:val="000000"/>
                                        <w:sz w:val="2"/>
                                        <w:szCs w:val="2"/>
                                      </w:rPr>
                                      <w:t xml:space="preserve">  </w:t>
                                    </w:r>
                                  </w:p>
                                </w:tc>
                              </w:tr>
                            </w:tbl>
                            <w:p w14:paraId="075A8E40" w14:textId="77777777" w:rsidR="0097607A" w:rsidRDefault="0097607A">
                              <w:pPr>
                                <w:rPr>
                                  <w:rFonts w:ascii="Times New Roman" w:eastAsia="Times New Roman" w:hAnsi="Times New Roman" w:cs="Times New Roman"/>
                                  <w:sz w:val="20"/>
                                  <w:szCs w:val="20"/>
                                </w:rPr>
                              </w:pPr>
                            </w:p>
                          </w:tc>
                        </w:tr>
                      </w:tbl>
                      <w:p w14:paraId="53585AD0" w14:textId="77777777" w:rsidR="0097607A" w:rsidRDefault="0097607A">
                        <w:pPr>
                          <w:rPr>
                            <w:rFonts w:ascii="Times New Roman" w:eastAsia="Times New Roman" w:hAnsi="Times New Roman" w:cs="Times New Roman"/>
                            <w:sz w:val="20"/>
                            <w:szCs w:val="20"/>
                          </w:rPr>
                        </w:pPr>
                      </w:p>
                    </w:tc>
                  </w:tr>
                </w:tbl>
                <w:p w14:paraId="534CC03A" w14:textId="77777777" w:rsidR="0097607A" w:rsidRDefault="0097607A">
                  <w:pPr>
                    <w:rPr>
                      <w:rFonts w:ascii="Times New Roman" w:eastAsia="Times New Roman" w:hAnsi="Times New Roman" w:cs="Times New Roman"/>
                      <w:sz w:val="20"/>
                      <w:szCs w:val="20"/>
                    </w:rPr>
                  </w:pPr>
                </w:p>
              </w:tc>
            </w:tr>
          </w:tbl>
          <w:p w14:paraId="77FA01DD" w14:textId="77777777" w:rsidR="0097607A" w:rsidRDefault="0097607A">
            <w:pPr>
              <w:rPr>
                <w:rFonts w:ascii="Times New Roman" w:eastAsia="Times New Roman" w:hAnsi="Times New Roman" w:cs="Times New Roman"/>
                <w:sz w:val="20"/>
                <w:szCs w:val="20"/>
              </w:rPr>
            </w:pPr>
          </w:p>
        </w:tc>
      </w:tr>
      <w:tr w:rsidR="0097607A" w14:paraId="1C040D68" w14:textId="77777777" w:rsidTr="0097607A">
        <w:trPr>
          <w:tblCellSpacing w:w="0" w:type="dxa"/>
          <w:jc w:val="center"/>
        </w:trPr>
        <w:tc>
          <w:tcPr>
            <w:tcW w:w="5000" w:type="pct"/>
            <w:shd w:val="clear" w:color="auto" w:fill="FFFFFF"/>
          </w:tcPr>
          <w:tbl>
            <w:tblPr>
              <w:tblW w:w="5000" w:type="pct"/>
              <w:jc w:val="center"/>
              <w:tblCellSpacing w:w="0" w:type="dxa"/>
              <w:tblCellMar>
                <w:left w:w="0" w:type="dxa"/>
                <w:right w:w="0" w:type="dxa"/>
              </w:tblCellMar>
              <w:tblLook w:val="04A0" w:firstRow="1" w:lastRow="0" w:firstColumn="1" w:lastColumn="0" w:noHBand="0" w:noVBand="1"/>
            </w:tblPr>
            <w:tblGrid>
              <w:gridCol w:w="9000"/>
            </w:tblGrid>
            <w:tr w:rsidR="0097607A" w14:paraId="4E7DA370" w14:textId="77777777">
              <w:trPr>
                <w:tblCellSpacing w:w="0" w:type="dxa"/>
                <w:jc w:val="center"/>
              </w:trPr>
              <w:tc>
                <w:tcPr>
                  <w:tcW w:w="0" w:type="auto"/>
                  <w:tcMar>
                    <w:top w:w="0" w:type="dxa"/>
                    <w:left w:w="0" w:type="dxa"/>
                    <w:bottom w:w="30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97607A" w14:paraId="5C823776" w14:textId="77777777">
                    <w:trPr>
                      <w:tblCellSpacing w:w="0" w:type="dxa"/>
                    </w:trPr>
                    <w:tc>
                      <w:tcPr>
                        <w:tcW w:w="0" w:type="auto"/>
                        <w:vAlign w:val="center"/>
                        <w:hideMark/>
                      </w:tcPr>
                      <w:tbl>
                        <w:tblPr>
                          <w:tblW w:w="5000" w:type="pct"/>
                          <w:tblCellMar>
                            <w:left w:w="0" w:type="dxa"/>
                            <w:right w:w="0" w:type="dxa"/>
                          </w:tblCellMar>
                          <w:tblLook w:val="04A0" w:firstRow="1" w:lastRow="0" w:firstColumn="1" w:lastColumn="0" w:noHBand="0" w:noVBand="1"/>
                        </w:tblPr>
                        <w:tblGrid>
                          <w:gridCol w:w="9000"/>
                        </w:tblGrid>
                        <w:tr w:rsidR="0097607A" w14:paraId="3EB82AF8" w14:textId="77777777">
                          <w:tc>
                            <w:tcPr>
                              <w:tcW w:w="0" w:type="auto"/>
                              <w:tcBorders>
                                <w:top w:val="nil"/>
                                <w:left w:val="nil"/>
                                <w:bottom w:val="single" w:sz="18" w:space="0" w:color="000000"/>
                                <w:right w:val="nil"/>
                              </w:tcBorders>
                              <w:vAlign w:val="center"/>
                              <w:hideMark/>
                            </w:tcPr>
                            <w:p w14:paraId="54A7A6D5" w14:textId="77777777" w:rsidR="0097607A" w:rsidRDefault="0097607A">
                              <w:pPr>
                                <w:spacing w:line="0" w:lineRule="atLeast"/>
                                <w:rPr>
                                  <w:rFonts w:ascii="Arial" w:eastAsia="Times New Roman" w:hAnsi="Arial" w:cs="Arial"/>
                                  <w:color w:val="000000"/>
                                  <w:sz w:val="2"/>
                                  <w:szCs w:val="2"/>
                                </w:rPr>
                              </w:pPr>
                              <w:r>
                                <w:rPr>
                                  <w:rFonts w:ascii="Arial" w:eastAsia="Times New Roman" w:hAnsi="Arial" w:cs="Arial"/>
                                  <w:color w:val="000000"/>
                                  <w:sz w:val="2"/>
                                  <w:szCs w:val="2"/>
                                </w:rPr>
                                <w:lastRenderedPageBreak/>
                                <w:t xml:space="preserve">  </w:t>
                              </w:r>
                            </w:p>
                          </w:tc>
                        </w:tr>
                        <w:tr w:rsidR="0097607A" w14:paraId="76851B2E" w14:textId="77777777">
                          <w:tc>
                            <w:tcPr>
                              <w:tcW w:w="0" w:type="auto"/>
                              <w:vAlign w:val="center"/>
                              <w:hideMark/>
                            </w:tcPr>
                            <w:p w14:paraId="3A555405" w14:textId="77777777" w:rsidR="0097607A" w:rsidRDefault="0097607A">
                              <w:pPr>
                                <w:spacing w:line="0" w:lineRule="atLeast"/>
                                <w:rPr>
                                  <w:rFonts w:ascii="Arial" w:eastAsia="Times New Roman" w:hAnsi="Arial" w:cs="Arial"/>
                                  <w:color w:val="000000"/>
                                  <w:sz w:val="2"/>
                                  <w:szCs w:val="2"/>
                                </w:rPr>
                              </w:pPr>
                              <w:r>
                                <w:rPr>
                                  <w:rFonts w:ascii="Arial" w:eastAsia="Times New Roman" w:hAnsi="Arial" w:cs="Arial"/>
                                  <w:color w:val="000000"/>
                                  <w:sz w:val="2"/>
                                  <w:szCs w:val="2"/>
                                </w:rPr>
                                <w:t xml:space="preserve">  </w:t>
                              </w:r>
                            </w:p>
                          </w:tc>
                        </w:tr>
                      </w:tbl>
                      <w:p w14:paraId="6B70ABF8" w14:textId="77777777" w:rsidR="0097607A" w:rsidRDefault="0097607A">
                        <w:pPr>
                          <w:rPr>
                            <w:rFonts w:ascii="Times New Roman" w:eastAsia="Times New Roman" w:hAnsi="Times New Roman" w:cs="Times New Roman"/>
                            <w:sz w:val="20"/>
                            <w:szCs w:val="20"/>
                          </w:rPr>
                        </w:pPr>
                      </w:p>
                    </w:tc>
                  </w:tr>
                </w:tbl>
                <w:p w14:paraId="0A969924" w14:textId="77777777" w:rsidR="0097607A" w:rsidRDefault="0097607A">
                  <w:pPr>
                    <w:rPr>
                      <w:rFonts w:ascii="Times New Roman" w:eastAsia="Times New Roman" w:hAnsi="Times New Roman" w:cs="Times New Roman"/>
                      <w:sz w:val="20"/>
                      <w:szCs w:val="20"/>
                    </w:rPr>
                  </w:pPr>
                </w:p>
              </w:tc>
            </w:tr>
          </w:tbl>
          <w:p w14:paraId="44F3E3B7" w14:textId="77777777" w:rsidR="0097607A" w:rsidRDefault="0097607A">
            <w:pPr>
              <w:jc w:val="center"/>
              <w:rPr>
                <w:rFonts w:ascii="Arial" w:eastAsia="Times New Roman" w:hAnsi="Arial" w:cs="Arial"/>
                <w:vanish/>
                <w:color w:val="000000"/>
                <w:sz w:val="24"/>
                <w:szCs w:val="24"/>
              </w:rPr>
            </w:pPr>
          </w:p>
          <w:tbl>
            <w:tblPr>
              <w:tblW w:w="5000" w:type="pct"/>
              <w:jc w:val="center"/>
              <w:tblCellSpacing w:w="0" w:type="dxa"/>
              <w:tblCellMar>
                <w:left w:w="0" w:type="dxa"/>
                <w:right w:w="0" w:type="dxa"/>
              </w:tblCellMar>
              <w:tblLook w:val="04A0" w:firstRow="1" w:lastRow="0" w:firstColumn="1" w:lastColumn="0" w:noHBand="0" w:noVBand="1"/>
            </w:tblPr>
            <w:tblGrid>
              <w:gridCol w:w="9000"/>
            </w:tblGrid>
            <w:tr w:rsidR="0097607A" w14:paraId="75398ED5" w14:textId="77777777">
              <w:trPr>
                <w:tblCellSpacing w:w="0" w:type="dxa"/>
                <w:jc w:val="center"/>
              </w:trPr>
              <w:tc>
                <w:tcPr>
                  <w:tcW w:w="0" w:type="auto"/>
                  <w:tcMar>
                    <w:top w:w="0" w:type="dxa"/>
                    <w:left w:w="0" w:type="dxa"/>
                    <w:bottom w:w="30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97607A" w14:paraId="028A0B70" w14:textId="77777777">
                    <w:trPr>
                      <w:tblCellSpacing w:w="0" w:type="dxa"/>
                    </w:trPr>
                    <w:tc>
                      <w:tcPr>
                        <w:tcW w:w="0" w:type="auto"/>
                        <w:shd w:val="clear" w:color="auto" w:fill="FFFFFF"/>
                        <w:vAlign w:val="center"/>
                        <w:hideMark/>
                      </w:tcPr>
                      <w:tbl>
                        <w:tblPr>
                          <w:tblW w:w="5000" w:type="pct"/>
                          <w:tblCellMar>
                            <w:left w:w="0" w:type="dxa"/>
                            <w:right w:w="0" w:type="dxa"/>
                          </w:tblCellMar>
                          <w:tblLook w:val="04A0" w:firstRow="1" w:lastRow="0" w:firstColumn="1" w:lastColumn="0" w:noHBand="0" w:noVBand="1"/>
                        </w:tblPr>
                        <w:tblGrid>
                          <w:gridCol w:w="9000"/>
                        </w:tblGrid>
                        <w:tr w:rsidR="0097607A" w14:paraId="05044401" w14:textId="77777777">
                          <w:tc>
                            <w:tcPr>
                              <w:tcW w:w="0" w:type="auto"/>
                              <w:vAlign w:val="center"/>
                              <w:hideMark/>
                            </w:tcPr>
                            <w:p w14:paraId="5B73D020" w14:textId="77777777" w:rsidR="0097607A" w:rsidRDefault="0097607A">
                              <w:pPr>
                                <w:pStyle w:val="NormalWeb"/>
                                <w:rPr>
                                  <w:rFonts w:ascii="Arial" w:hAnsi="Arial" w:cs="Arial"/>
                                  <w:color w:val="000000"/>
                                  <w:sz w:val="20"/>
                                  <w:szCs w:val="20"/>
                                </w:rPr>
                              </w:pPr>
                              <w:r>
                                <w:rPr>
                                  <w:rStyle w:val="Emphasis"/>
                                  <w:rFonts w:ascii="Arial" w:hAnsi="Arial" w:cs="Arial"/>
                                  <w:color w:val="000000"/>
                                  <w:sz w:val="20"/>
                                  <w:szCs w:val="20"/>
                                </w:rPr>
                                <w:t xml:space="preserve">For internal use only and not to be shown, </w:t>
                              </w:r>
                              <w:proofErr w:type="gramStart"/>
                              <w:r>
                                <w:rPr>
                                  <w:rStyle w:val="Emphasis"/>
                                  <w:rFonts w:ascii="Arial" w:hAnsi="Arial" w:cs="Arial"/>
                                  <w:color w:val="000000"/>
                                  <w:sz w:val="20"/>
                                  <w:szCs w:val="20"/>
                                </w:rPr>
                                <w:t>distributed</w:t>
                              </w:r>
                              <w:proofErr w:type="gramEnd"/>
                              <w:r>
                                <w:rPr>
                                  <w:rStyle w:val="Emphasis"/>
                                  <w:rFonts w:ascii="Arial" w:hAnsi="Arial" w:cs="Arial"/>
                                  <w:color w:val="000000"/>
                                  <w:sz w:val="20"/>
                                  <w:szCs w:val="20"/>
                                </w:rPr>
                                <w:t xml:space="preserve"> or disseminated outside of Novartis</w:t>
                              </w:r>
                            </w:p>
                          </w:tc>
                        </w:tr>
                        <w:tr w:rsidR="0097607A" w14:paraId="29C0A119" w14:textId="77777777">
                          <w:tc>
                            <w:tcPr>
                              <w:tcW w:w="0" w:type="auto"/>
                              <w:tcMar>
                                <w:top w:w="300" w:type="dxa"/>
                                <w:left w:w="0" w:type="dxa"/>
                                <w:bottom w:w="0" w:type="dxa"/>
                                <w:right w:w="0" w:type="dxa"/>
                              </w:tcMar>
                              <w:vAlign w:val="center"/>
                              <w:hideMark/>
                            </w:tcPr>
                            <w:p w14:paraId="0FB18ED1" w14:textId="4564D15F" w:rsidR="0097607A" w:rsidRDefault="0097607A">
                              <w:pP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3939AC0C" wp14:editId="4E4EF048">
                                    <wp:extent cx="2860040" cy="233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0040" cy="233680"/>
                                            </a:xfrm>
                                            <a:prstGeom prst="rect">
                                              <a:avLst/>
                                            </a:prstGeom>
                                            <a:noFill/>
                                            <a:ln>
                                              <a:noFill/>
                                            </a:ln>
                                          </pic:spPr>
                                        </pic:pic>
                                      </a:graphicData>
                                    </a:graphic>
                                  </wp:inline>
                                </w:drawing>
                              </w:r>
                            </w:p>
                          </w:tc>
                        </w:tr>
                      </w:tbl>
                      <w:p w14:paraId="5DF10642" w14:textId="77777777" w:rsidR="0097607A" w:rsidRDefault="0097607A">
                        <w:pPr>
                          <w:rPr>
                            <w:rFonts w:ascii="Times New Roman" w:eastAsia="Times New Roman" w:hAnsi="Times New Roman" w:cs="Times New Roman"/>
                            <w:sz w:val="20"/>
                            <w:szCs w:val="20"/>
                          </w:rPr>
                        </w:pPr>
                      </w:p>
                    </w:tc>
                  </w:tr>
                </w:tbl>
                <w:p w14:paraId="04E58C07" w14:textId="77777777" w:rsidR="0097607A" w:rsidRDefault="0097607A">
                  <w:pPr>
                    <w:rPr>
                      <w:rFonts w:ascii="Times New Roman" w:eastAsia="Times New Roman" w:hAnsi="Times New Roman" w:cs="Times New Roman"/>
                      <w:sz w:val="20"/>
                      <w:szCs w:val="20"/>
                    </w:rPr>
                  </w:pPr>
                </w:p>
              </w:tc>
            </w:tr>
          </w:tbl>
          <w:p w14:paraId="3C296B3E" w14:textId="77777777" w:rsidR="0097607A" w:rsidRDefault="0097607A">
            <w:pPr>
              <w:jc w:val="center"/>
              <w:rPr>
                <w:rFonts w:ascii="Times New Roman" w:eastAsia="Times New Roman" w:hAnsi="Times New Roman" w:cs="Times New Roman"/>
                <w:sz w:val="20"/>
                <w:szCs w:val="20"/>
              </w:rPr>
            </w:pPr>
          </w:p>
        </w:tc>
      </w:tr>
    </w:tbl>
    <w:p w14:paraId="62830720" w14:textId="77777777" w:rsidR="0097607A" w:rsidRDefault="0097607A" w:rsidP="0097607A">
      <w:pPr>
        <w:shd w:val="clear" w:color="auto" w:fill="FFFFFF"/>
        <w:rPr>
          <w:rFonts w:eastAsia="Times New Roman"/>
          <w:vanish/>
        </w:rPr>
      </w:pPr>
    </w:p>
    <w:tbl>
      <w:tblPr>
        <w:tblW w:w="5000" w:type="pct"/>
        <w:jc w:val="center"/>
        <w:tblCellSpacing w:w="15" w:type="dxa"/>
        <w:shd w:val="clear" w:color="auto" w:fill="FFFFFF"/>
        <w:tblLook w:val="04A0" w:firstRow="1" w:lastRow="0" w:firstColumn="1" w:lastColumn="0" w:noHBand="0" w:noVBand="1"/>
      </w:tblPr>
      <w:tblGrid>
        <w:gridCol w:w="9026"/>
      </w:tblGrid>
      <w:tr w:rsidR="0097607A" w14:paraId="607AEF96" w14:textId="77777777" w:rsidTr="0097607A">
        <w:trPr>
          <w:tblCellSpacing w:w="15" w:type="dxa"/>
          <w:jc w:val="center"/>
          <w:hidden/>
        </w:trPr>
        <w:tc>
          <w:tcPr>
            <w:tcW w:w="0" w:type="auto"/>
            <w:shd w:val="clear" w:color="auto" w:fill="FFFFFF"/>
            <w:tcMar>
              <w:top w:w="150" w:type="dxa"/>
              <w:left w:w="15" w:type="dxa"/>
              <w:bottom w:w="150" w:type="dxa"/>
              <w:right w:w="15" w:type="dxa"/>
            </w:tcMar>
            <w:vAlign w:val="center"/>
            <w:hideMark/>
          </w:tcPr>
          <w:p w14:paraId="57B5473E" w14:textId="77777777" w:rsidR="0097607A" w:rsidRDefault="0097607A">
            <w:pPr>
              <w:rPr>
                <w:rFonts w:eastAsia="Times New Roman"/>
                <w:vanish/>
              </w:rPr>
            </w:pPr>
          </w:p>
        </w:tc>
      </w:tr>
    </w:tbl>
    <w:p w14:paraId="67463411" w14:textId="77777777" w:rsidR="0097607A" w:rsidRDefault="0097607A" w:rsidP="0097607A">
      <w:pPr>
        <w:rPr>
          <w:rFonts w:eastAsia="Times New Roman"/>
        </w:rPr>
      </w:pPr>
    </w:p>
    <w:p w14:paraId="56CD60E3" w14:textId="77777777" w:rsidR="00C65FD1" w:rsidRDefault="00C65FD1"/>
    <w:sectPr w:rsidR="00C65F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C1F9B" w14:textId="77777777" w:rsidR="0097607A" w:rsidRDefault="0097607A" w:rsidP="0097607A">
      <w:r>
        <w:separator/>
      </w:r>
    </w:p>
  </w:endnote>
  <w:endnote w:type="continuationSeparator" w:id="0">
    <w:p w14:paraId="5661028D" w14:textId="77777777" w:rsidR="0097607A" w:rsidRDefault="0097607A" w:rsidP="00976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46C7C" w14:textId="77777777" w:rsidR="0097607A" w:rsidRDefault="0097607A" w:rsidP="0097607A">
      <w:r>
        <w:separator/>
      </w:r>
    </w:p>
  </w:footnote>
  <w:footnote w:type="continuationSeparator" w:id="0">
    <w:p w14:paraId="5DFC9852" w14:textId="77777777" w:rsidR="0097607A" w:rsidRDefault="0097607A" w:rsidP="009760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B5206"/>
    <w:multiLevelType w:val="multilevel"/>
    <w:tmpl w:val="07D4BD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C82FEB"/>
    <w:multiLevelType w:val="multilevel"/>
    <w:tmpl w:val="01C40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51536350">
    <w:abstractNumId w:val="1"/>
    <w:lvlOverride w:ilvl="0"/>
    <w:lvlOverride w:ilvl="1"/>
    <w:lvlOverride w:ilvl="2"/>
    <w:lvlOverride w:ilvl="3"/>
    <w:lvlOverride w:ilvl="4"/>
    <w:lvlOverride w:ilvl="5"/>
    <w:lvlOverride w:ilvl="6"/>
    <w:lvlOverride w:ilvl="7"/>
    <w:lvlOverride w:ilvl="8"/>
  </w:num>
  <w:num w:numId="2" w16cid:durableId="145379189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963"/>
    <w:rsid w:val="000A5963"/>
    <w:rsid w:val="001B4D2E"/>
    <w:rsid w:val="0097607A"/>
    <w:rsid w:val="00AE626B"/>
    <w:rsid w:val="00C65FD1"/>
    <w:rsid w:val="00EA5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F1B68"/>
  <w15:chartTrackingRefBased/>
  <w15:docId w15:val="{BF4E6026-760C-46BB-8433-43C43D07B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07A"/>
    <w:pPr>
      <w:spacing w:after="0" w:line="240" w:lineRule="auto"/>
    </w:pPr>
    <w:rPr>
      <w:rFonts w:ascii="Calibri" w:hAnsi="Calibri" w:cs="Calibri"/>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607A"/>
    <w:rPr>
      <w:color w:val="0000FF"/>
      <w:u w:val="single"/>
    </w:rPr>
  </w:style>
  <w:style w:type="paragraph" w:styleId="NormalWeb">
    <w:name w:val="Normal (Web)"/>
    <w:basedOn w:val="Normal"/>
    <w:uiPriority w:val="99"/>
    <w:semiHidden/>
    <w:unhideWhenUsed/>
    <w:rsid w:val="0097607A"/>
  </w:style>
  <w:style w:type="character" w:styleId="Strong">
    <w:name w:val="Strong"/>
    <w:basedOn w:val="DefaultParagraphFont"/>
    <w:uiPriority w:val="22"/>
    <w:qFormat/>
    <w:rsid w:val="0097607A"/>
    <w:rPr>
      <w:b/>
      <w:bCs/>
    </w:rPr>
  </w:style>
  <w:style w:type="character" w:styleId="Emphasis">
    <w:name w:val="Emphasis"/>
    <w:basedOn w:val="DefaultParagraphFont"/>
    <w:uiPriority w:val="20"/>
    <w:qFormat/>
    <w:rsid w:val="009760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8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novartisgrouphr.newsweaver.com/314pcci5vi/w85abiubt2pb3sred5smn2/external?email=true&amp;a=5&amp;p=10999474&amp;t=3978462"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novartisgrouphr.newsweaver.com/314pcci5vi/6iofkavrui9b3sred5smn2/external?email=true&amp;i=2&amp;a=5&amp;p=10999474&amp;t=397846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ovartisgrouphr.newsweaver.com/314pcci5vi/1tzk8zfmhjib3sred5smn2/external?email=true&amp;i=2&amp;a=5&amp;p=10999474&amp;t=397846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novartisgrouphr.newsweaver.com/314pcci5vi/1bybwazm3meb3sred5smn2/external?email=true&amp;i=2&amp;a=5&amp;p=10999474&amp;t=3978462" TargetMode="External"/><Relationship Id="rId4" Type="http://schemas.openxmlformats.org/officeDocument/2006/relationships/webSettings" Target="webSettings.xml"/><Relationship Id="rId9" Type="http://schemas.openxmlformats.org/officeDocument/2006/relationships/hyperlink" Target="http://novartisgrouphr.newsweaver.com/314pcci5vi/1g0oodffin9b3sred5smn2/external?email=true&amp;i=2&amp;a=5&amp;p=10999474&amp;t=3978462"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895</Words>
  <Characters>5104</Characters>
  <Application>Microsoft Office Word</Application>
  <DocSecurity>0</DocSecurity>
  <Lines>42</Lines>
  <Paragraphs>11</Paragraphs>
  <ScaleCrop>false</ScaleCrop>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Mahajan, Vinay</cp:lastModifiedBy>
  <cp:revision>2</cp:revision>
  <dcterms:created xsi:type="dcterms:W3CDTF">2023-08-22T04:15:00Z</dcterms:created>
  <dcterms:modified xsi:type="dcterms:W3CDTF">2023-08-22T04:15:00Z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2023-08-22T04:15:28Z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37a83d43-082a-43c2-b2a4-b56029ca4835</vt:lpwstr>
  </property>
  <property fmtid="{D5CDD505-2E9C-101B-9397-08002B2CF9AE}" pid="8" name="MSIP_Label_3c9bec58-8084-492e-8360-0e1cfe36408c_ContentBits">
    <vt:lpwstr>0</vt:lpwstr>
  </property>
</Properties>
</file>