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F4E79"/>
          <w:sz w:val="44"/>
        </w:rPr>
        <w:t>QUY TRÌNH THẨM ĐỊNH VÀ DUYỆT PULL REQUEST</w:t>
      </w:r>
    </w:p>
    <w:p>
      <w:pPr>
        <w:spacing w:after="280"/>
      </w:pPr>
      <w:r>
        <w:rPr>
          <w:i/>
          <w:color w:val="2E86C1"/>
          <w:sz w:val="24"/>
        </w:rPr>
        <w:t>Dành cho Reviewer chịu trách nhiệm nghiệm thu và Merge vào nhánh develop</w:t>
      </w:r>
    </w:p>
    <w:tbl>
      <w:tblPr>
        <w:tblW w:type="auto" w:w="0"/>
        <w:jc w:val="center"/>
        <w:tblLook w:firstColumn="1" w:firstRow="1" w:lastColumn="0" w:lastRow="0" w:noHBand="0" w:noVBand="1" w:val="04A0"/>
      </w:tblPr>
      <w:tblGrid>
        <w:gridCol w:w="9648"/>
      </w:tblGrid>
      <w:tr>
        <w:tc>
          <w:tcPr>
            <w:tcW w:type="dxa" w:w="9648"/>
            <w:shd w:fill="F2F4F7"/>
            <w:tcMar>
              <w:top w:w="140" w:type="dxa"/>
              <w:bottom w:w="140" w:type="dxa"/>
              <w:left w:w="200" w:type="dxa"/>
              <w:right w:w="200" w:type="dxa"/>
            </w:tcMar>
          </w:tcPr>
          <w:p>
            <w:pPr>
              <w:spacing w:after="0"/>
            </w:pPr>
            <w:r>
              <w:rPr>
                <w:b/>
              </w:rPr>
              <w:t xml:space="preserve">Dự án: </w:t>
            </w:r>
            <w:r>
              <w:t>Sign Language Classification v1.0</w:t>
              <w:br/>
            </w:r>
            <w:r>
              <w:rPr>
                <w:b/>
              </w:rPr>
              <w:t xml:space="preserve">Tài liệu tham chiếu: </w:t>
            </w:r>
            <w:r>
              <w:t>.github/PULL_REQUEST_TEMPLATE.md | docs/WORKFLOW.md | AGENTS.md</w:t>
              <w:br/>
            </w:r>
            <w:r>
              <w:rPr>
                <w:b/>
              </w:rPr>
              <w:t xml:space="preserve">Quy tắc áp dụng: </w:t>
            </w:r>
            <w:r>
              <w:t>Business Rules (BR-001 đến BR-026) | Quy chuẩn kiểm thử Quality Gates</w:t>
            </w:r>
          </w:p>
        </w:tc>
      </w:tr>
    </w:tbl>
    <w:p>
      <w:pPr>
        <w:spacing w:after="120"/>
      </w:pPr>
    </w:p>
    <w:p>
      <w:pPr>
        <w:spacing w:before="280" w:after="120"/>
      </w:pPr>
      <w:r>
        <w:rPr>
          <w:b/>
          <w:color w:val="1F4E79"/>
          <w:sz w:val="30"/>
        </w:rPr>
        <w:t>1. Mục đích và Phạm vi Áp dụng</w:t>
      </w:r>
    </w:p>
    <w:p>
      <w:pPr>
        <w:spacing w:after="80"/>
      </w:pPr>
      <w:r>
        <w:rPr>
          <w:b/>
        </w:rPr>
        <w:t xml:space="preserve">• </w:t>
      </w:r>
      <w:r>
        <w:rPr>
          <w:b/>
        </w:rPr>
        <w:t xml:space="preserve">Mục đích: </w:t>
      </w:r>
      <w:r>
        <w:t xml:space="preserve">Bảo đảm mọi thay đổi khi hợp nhất vào nhánh </w:t>
      </w:r>
      <w:r>
        <w:rPr>
          <w:b/>
        </w:rPr>
        <w:t>develop</w:t>
      </w:r>
      <w:r>
        <w:t xml:space="preserve"> đều đạt chuẩn chất lượng cao nhất (Quality Gates), không gây lỗi hồi quy mô hình (Regression Free), tuân thủ nghiêm ngặt Quy tắc nghiệp vụ (Business Rules) và có đầy đủ bằng chứng kiểm thử minh bạch.</w:t>
      </w:r>
    </w:p>
    <w:p>
      <w:pPr>
        <w:spacing w:after="200"/>
      </w:pPr>
      <w:r>
        <w:rPr>
          <w:b/>
        </w:rPr>
        <w:t xml:space="preserve">• </w:t>
      </w:r>
      <w:r>
        <w:rPr>
          <w:b/>
        </w:rPr>
        <w:t xml:space="preserve">Phạm vi áp dụng: </w:t>
      </w:r>
      <w:r>
        <w:t xml:space="preserve">Toàn bộ các Pull Request có nhánh đích là </w:t>
      </w:r>
      <w:r>
        <w:rPr>
          <w:b/>
        </w:rPr>
        <w:t>develop</w:t>
      </w:r>
      <w:r>
        <w:t xml:space="preserve"> xuất phát từ các nhánh tính năng (feature/*), sửa lỗi (bugfix/*), tài liệu (docs/*), hoặc tối ưu mã nguồn (refactor/*).</w:t>
      </w:r>
    </w:p>
    <w:p>
      <w:pPr>
        <w:spacing w:before="280" w:after="120"/>
      </w:pPr>
      <w:r>
        <w:rPr>
          <w:b/>
          <w:color w:val="1F4E79"/>
          <w:sz w:val="30"/>
        </w:rPr>
        <w:t>2. Quy trình Thẩm định 5 Bước của Reviewer</w:t>
      </w:r>
    </w:p>
    <w:p>
      <w:pPr>
        <w:spacing w:before="200" w:after="80"/>
      </w:pPr>
      <w:r>
        <w:rPr>
          <w:b/>
          <w:color w:val="2E86C1"/>
          <w:sz w:val="26"/>
        </w:rPr>
        <w:t>Bước 1: Kiểm tra Hồ sơ PR (PR Sanity Check)</w:t>
      </w:r>
    </w:p>
    <w:p>
      <w:pPr/>
      <w:r>
        <w:t>Reviewer kiểm tra thông tin trên trang tổng quan của Pull Request trên GitHub:</w:t>
      </w:r>
    </w:p>
    <w:p>
      <w:pPr>
        <w:spacing w:after="60"/>
        <w:ind w:left="360"/>
      </w:pPr>
      <w:r>
        <w:rPr>
          <w:b/>
        </w:rPr>
        <w:t xml:space="preserve">✓ </w:t>
      </w:r>
      <w:r>
        <w:rPr>
          <w:b/>
        </w:rPr>
        <w:t xml:space="preserve">Kiểm tra Nhánh Nguồn &amp; Đích: </w:t>
      </w:r>
      <w:r>
        <w:t>Nhánh nguồn phải là feature/US-00X tương ứng; nhánh đích bắt buộc phải là develop (tuyệt đối không merge thẳng vào main).</w:t>
      </w:r>
    </w:p>
    <w:p>
      <w:pPr>
        <w:spacing w:after="60"/>
        <w:ind w:left="360"/>
      </w:pPr>
      <w:r>
        <w:rPr>
          <w:b/>
        </w:rPr>
        <w:t xml:space="preserve">✓ </w:t>
      </w:r>
      <w:r>
        <w:rPr>
          <w:b/>
        </w:rPr>
        <w:t xml:space="preserve">Kiểm tra Tiêu đề &amp; Thông tin: </w:t>
      </w:r>
      <w:r>
        <w:t>Tiêu đề PR đúng định dạng [US-XXX] - Mô tả ngắn gọn; nêu rõ Story ID, Rule ID liên quan; bảng Summary of Changes liệt kê đầy đủ các file chỉnh sửa.</w:t>
      </w:r>
    </w:p>
    <w:p>
      <w:pPr>
        <w:spacing w:after="60"/>
        <w:ind w:left="360"/>
      </w:pPr>
      <w:r>
        <w:rPr>
          <w:b/>
        </w:rPr>
        <w:t xml:space="preserve">✓ </w:t>
      </w:r>
      <w:r>
        <w:rPr>
          <w:b/>
        </w:rPr>
        <w:t xml:space="preserve">Kiểm tra Bằng chứng Kiểm thử (Test Evidence): </w:t>
      </w:r>
      <w:r>
        <w:t>Tác giả đã đính kèm log terminal hoặc ảnh chụp chứng minh toàn bộ test suite đã chạy Passed; bảng Checklist Tác giả đã được tick chọn đầy đủ [x].</w:t>
      </w:r>
    </w:p>
    <w:p>
      <w:pPr>
        <w:spacing w:before="240" w:after="80"/>
      </w:pPr>
      <w:r>
        <w:rPr>
          <w:b/>
          <w:color w:val="2E86C1"/>
          <w:sz w:val="26"/>
        </w:rPr>
        <w:t>Bước 2: Rà soát Mã nguồn theo Checklist (Code Review)</w:t>
      </w:r>
    </w:p>
    <w:p>
      <w:pPr/>
      <w:r>
        <w:t>Reviewer truy cập tab 'Files changed' để soi từng dòng diff mã nguồn đối chiếu với bảng tiêu chí kỹ thuật:</w:t>
      </w:r>
    </w:p>
    <w:tbl>
      <w:tblPr>
        <w:tblW w:type="auto" w:w="0"/>
        <w:jc w:val="center"/>
        <w:tblLayout w:type="fixed"/>
        <w:tblLook w:firstColumn="1" w:firstRow="1" w:lastColumn="0" w:lastRow="0" w:noHBand="0" w:noVBand="1" w:val="04A0"/>
      </w:tblPr>
      <w:tblGrid>
        <w:gridCol w:w="3216"/>
        <w:gridCol w:w="3216"/>
        <w:gridCol w:w="3216"/>
      </w:tblGrid>
      <w:tr>
        <w:tc>
          <w:tcPr>
            <w:tcW w:type="dxa" w:w="2592"/>
            <w:shd w:fill="1F4E79"/>
            <w:tcMar>
              <w:top w:w="120" w:type="dxa"/>
              <w:bottom w:w="120" w:type="dxa"/>
              <w:left w:w="120" w:type="dxa"/>
              <w:right w:w="120" w:type="dxa"/>
            </w:tcMar>
          </w:tcPr>
          <w:p>
            <w:pPr>
              <w:jc w:val="center"/>
            </w:pPr>
            <w:r>
              <w:rPr>
                <w:b/>
                <w:color w:val="FFFFFF"/>
                <w:sz w:val="20"/>
              </w:rPr>
              <w:t>Tiêu chí Soi Mã nguồn</w:t>
            </w:r>
          </w:p>
        </w:tc>
        <w:tc>
          <w:tcPr>
            <w:tcW w:type="dxa" w:w="3888"/>
            <w:shd w:fill="1F4E79"/>
            <w:tcMar>
              <w:top w:w="120" w:type="dxa"/>
              <w:bottom w:w="120" w:type="dxa"/>
              <w:left w:w="120" w:type="dxa"/>
              <w:right w:w="120" w:type="dxa"/>
            </w:tcMar>
          </w:tcPr>
          <w:p>
            <w:pPr>
              <w:jc w:val="center"/>
            </w:pPr>
            <w:r>
              <w:rPr>
                <w:b/>
                <w:color w:val="FFFFFF"/>
                <w:sz w:val="20"/>
              </w:rPr>
              <w:t>Yêu cầu Kỹ thuật Đạt chuẩn</w:t>
            </w:r>
          </w:p>
        </w:tc>
        <w:tc>
          <w:tcPr>
            <w:tcW w:type="dxa" w:w="3168"/>
            <w:shd w:fill="1F4E79"/>
            <w:tcMar>
              <w:top w:w="120" w:type="dxa"/>
              <w:bottom w:w="120" w:type="dxa"/>
              <w:left w:w="120" w:type="dxa"/>
              <w:right w:w="120" w:type="dxa"/>
            </w:tcMar>
          </w:tcPr>
          <w:p>
            <w:pPr>
              <w:jc w:val="center"/>
            </w:pPr>
            <w:r>
              <w:rPr>
                <w:b/>
                <w:color w:val="FFFFFF"/>
                <w:sz w:val="20"/>
              </w:rPr>
              <w:t>Rủi ro nếu Bỏ qua</w:t>
            </w:r>
          </w:p>
        </w:tc>
      </w:tr>
      <w:tr>
        <w:tc>
          <w:tcPr>
            <w:tcW w:type="dxa" w:w="2592"/>
            <w:shd w:fill="F9FAFB"/>
            <w:tcMar>
              <w:top w:w="90" w:type="dxa"/>
              <w:bottom w:w="90" w:type="dxa"/>
              <w:left w:w="100" w:type="dxa"/>
              <w:right w:w="100" w:type="dxa"/>
            </w:tcMar>
          </w:tcPr>
          <w:p>
            <w:pPr>
              <w:spacing w:after="0" w:line="276" w:lineRule="auto"/>
            </w:pPr>
            <w:r>
              <w:rPr>
                <w:b/>
                <w:sz w:val="19"/>
              </w:rPr>
              <w:t>1. Tuân thủ Quy tắc Nghiệp vụ (BR)</w:t>
            </w:r>
          </w:p>
        </w:tc>
        <w:tc>
          <w:tcPr>
            <w:tcW w:type="dxa" w:w="3888"/>
            <w:shd w:fill="F9FAFB"/>
            <w:tcMar>
              <w:top w:w="90" w:type="dxa"/>
              <w:bottom w:w="90" w:type="dxa"/>
              <w:left w:w="100" w:type="dxa"/>
              <w:right w:w="100" w:type="dxa"/>
            </w:tcMar>
          </w:tcPr>
          <w:p>
            <w:pPr>
              <w:spacing w:after="0" w:line="276" w:lineRule="auto"/>
            </w:pPr>
            <w:r>
              <w:rPr>
                <w:sz w:val="19"/>
              </w:rPr>
              <w:t>Mã nguồn bám sát Business Rules (ví dụ US-002: tuân thủ BR-003, nhãn chỉ định nghĩa duy nhất tại src/vsl/labels.py).</w:t>
            </w:r>
          </w:p>
        </w:tc>
        <w:tc>
          <w:tcPr>
            <w:tcW w:type="dxa" w:w="3168"/>
            <w:shd w:fill="F9FAFB"/>
            <w:tcMar>
              <w:top w:w="90" w:type="dxa"/>
              <w:bottom w:w="90" w:type="dxa"/>
              <w:left w:w="100" w:type="dxa"/>
              <w:right w:w="100" w:type="dxa"/>
            </w:tcMar>
          </w:tcPr>
          <w:p>
            <w:pPr>
              <w:spacing w:after="0" w:line="276" w:lineRule="auto"/>
            </w:pPr>
            <w:r>
              <w:rPr>
                <w:sz w:val="19"/>
              </w:rPr>
              <w:t>Lệch dữ liệu nhãn giữa quá trình huấn luyện và khi suy luận.</w:t>
            </w:r>
          </w:p>
        </w:tc>
      </w:tr>
      <w:tr>
        <w:tc>
          <w:tcPr>
            <w:tcW w:type="dxa" w:w="2592"/>
            <w:shd w:fill="FFFFFF"/>
            <w:tcMar>
              <w:top w:w="90" w:type="dxa"/>
              <w:bottom w:w="90" w:type="dxa"/>
              <w:left w:w="100" w:type="dxa"/>
              <w:right w:w="100" w:type="dxa"/>
            </w:tcMar>
          </w:tcPr>
          <w:p>
            <w:pPr>
              <w:spacing w:after="0" w:line="276" w:lineRule="auto"/>
            </w:pPr>
            <w:r>
              <w:rPr>
                <w:b/>
                <w:sz w:val="19"/>
              </w:rPr>
              <w:t>2. Clean Code &amp; Debug</w:t>
            </w:r>
          </w:p>
        </w:tc>
        <w:tc>
          <w:tcPr>
            <w:tcW w:type="dxa" w:w="3888"/>
            <w:shd w:fill="FFFFFF"/>
            <w:tcMar>
              <w:top w:w="90" w:type="dxa"/>
              <w:bottom w:w="90" w:type="dxa"/>
              <w:left w:w="100" w:type="dxa"/>
              <w:right w:w="100" w:type="dxa"/>
            </w:tcMar>
          </w:tcPr>
          <w:p>
            <w:pPr>
              <w:spacing w:after="0" w:line="276" w:lineRule="auto"/>
            </w:pPr>
            <w:r>
              <w:rPr>
                <w:sz w:val="19"/>
              </w:rPr>
              <w:t>Không còn lệnh print(...) debug tạm, không có comment code cũ bị bỏ đi hoặc mã nguồn thừa (dead code).</w:t>
            </w:r>
          </w:p>
        </w:tc>
        <w:tc>
          <w:tcPr>
            <w:tcW w:type="dxa" w:w="3168"/>
            <w:shd w:fill="FFFFFF"/>
            <w:tcMar>
              <w:top w:w="90" w:type="dxa"/>
              <w:bottom w:w="90" w:type="dxa"/>
              <w:left w:w="100" w:type="dxa"/>
              <w:right w:w="100" w:type="dxa"/>
            </w:tcMar>
          </w:tcPr>
          <w:p>
            <w:pPr>
              <w:spacing w:after="0" w:line="276" w:lineRule="auto"/>
            </w:pPr>
            <w:r>
              <w:rPr>
                <w:sz w:val="19"/>
              </w:rPr>
              <w:t>Gây rác console log và khó khăn khi debug trên môi trường production.</w:t>
            </w:r>
          </w:p>
        </w:tc>
      </w:tr>
      <w:tr>
        <w:tc>
          <w:tcPr>
            <w:tcW w:type="dxa" w:w="2592"/>
            <w:shd w:fill="F9FAFB"/>
            <w:tcMar>
              <w:top w:w="90" w:type="dxa"/>
              <w:bottom w:w="90" w:type="dxa"/>
              <w:left w:w="100" w:type="dxa"/>
              <w:right w:w="100" w:type="dxa"/>
            </w:tcMar>
          </w:tcPr>
          <w:p>
            <w:pPr>
              <w:spacing w:after="0" w:line="276" w:lineRule="auto"/>
            </w:pPr>
            <w:r>
              <w:rPr>
                <w:b/>
                <w:sz w:val="19"/>
              </w:rPr>
              <w:t>3. Không hard-code Magic Number</w:t>
            </w:r>
          </w:p>
        </w:tc>
        <w:tc>
          <w:tcPr>
            <w:tcW w:type="dxa" w:w="3888"/>
            <w:shd w:fill="F9FAFB"/>
            <w:tcMar>
              <w:top w:w="90" w:type="dxa"/>
              <w:bottom w:w="90" w:type="dxa"/>
              <w:left w:w="100" w:type="dxa"/>
              <w:right w:w="100" w:type="dxa"/>
            </w:tcMar>
          </w:tcPr>
          <w:p>
            <w:pPr>
              <w:spacing w:after="0" w:line="276" w:lineRule="auto"/>
            </w:pPr>
            <w:r>
              <w:rPr>
                <w:sz w:val="19"/>
              </w:rPr>
              <w:t>Tuyệt đối không gán cứng số lượng lớp (cấm số 23), phải dùng biến suy luận tự động NUM_CLASSES.</w:t>
            </w:r>
          </w:p>
        </w:tc>
        <w:tc>
          <w:tcPr>
            <w:tcW w:type="dxa" w:w="3168"/>
            <w:shd w:fill="F9FAFB"/>
            <w:tcMar>
              <w:top w:w="90" w:type="dxa"/>
              <w:bottom w:w="90" w:type="dxa"/>
              <w:left w:w="100" w:type="dxa"/>
              <w:right w:w="100" w:type="dxa"/>
            </w:tcMar>
          </w:tcPr>
          <w:p>
            <w:pPr>
              <w:spacing w:after="0" w:line="276" w:lineRule="auto"/>
            </w:pPr>
            <w:r>
              <w:rPr>
                <w:sz w:val="19"/>
              </w:rPr>
              <w:t>Gãy shape model (Shape Mismatch) khi bổ sung thêm ký tự sau này.</w:t>
            </w:r>
          </w:p>
        </w:tc>
      </w:tr>
      <w:tr>
        <w:tc>
          <w:tcPr>
            <w:tcW w:type="dxa" w:w="2592"/>
            <w:shd w:fill="FFFFFF"/>
            <w:tcMar>
              <w:top w:w="90" w:type="dxa"/>
              <w:bottom w:w="90" w:type="dxa"/>
              <w:left w:w="100" w:type="dxa"/>
              <w:right w:w="100" w:type="dxa"/>
            </w:tcMar>
          </w:tcPr>
          <w:p>
            <w:pPr>
              <w:spacing w:after="0" w:line="276" w:lineRule="auto"/>
            </w:pPr>
            <w:r>
              <w:rPr>
                <w:b/>
                <w:sz w:val="19"/>
              </w:rPr>
              <w:t>4. Không hard-code Đường dẫn Tuyệt đối</w:t>
            </w:r>
          </w:p>
        </w:tc>
        <w:tc>
          <w:tcPr>
            <w:tcW w:type="dxa" w:w="3888"/>
            <w:shd w:fill="FFFFFF"/>
            <w:tcMar>
              <w:top w:w="90" w:type="dxa"/>
              <w:bottom w:w="90" w:type="dxa"/>
              <w:left w:w="100" w:type="dxa"/>
              <w:right w:w="100" w:type="dxa"/>
            </w:tcMar>
          </w:tcPr>
          <w:p>
            <w:pPr>
              <w:spacing w:after="0" w:line="276" w:lineRule="auto"/>
            </w:pPr>
            <w:r>
              <w:rPr>
                <w:sz w:val="19"/>
              </w:rPr>
              <w:t>Không phát sinh thêm đường dẫn Windows dạng D:\... trong logic nghiệp vụ.</w:t>
            </w:r>
          </w:p>
        </w:tc>
        <w:tc>
          <w:tcPr>
            <w:tcW w:type="dxa" w:w="3168"/>
            <w:shd w:fill="FFFFFF"/>
            <w:tcMar>
              <w:top w:w="90" w:type="dxa"/>
              <w:bottom w:w="90" w:type="dxa"/>
              <w:left w:w="100" w:type="dxa"/>
              <w:right w:w="100" w:type="dxa"/>
            </w:tcMar>
          </w:tcPr>
          <w:p>
            <w:pPr>
              <w:spacing w:after="0" w:line="276" w:lineRule="auto"/>
            </w:pPr>
            <w:r>
              <w:rPr>
                <w:sz w:val="19"/>
              </w:rPr>
              <w:t>Crash ngay lập tức khi khởi chạy container Linux trên Cloud Run.</w:t>
            </w:r>
          </w:p>
        </w:tc>
      </w:tr>
      <w:tr>
        <w:tc>
          <w:tcPr>
            <w:tcW w:type="dxa" w:w="2592"/>
            <w:shd w:fill="F9FAFB"/>
            <w:tcMar>
              <w:top w:w="90" w:type="dxa"/>
              <w:bottom w:w="90" w:type="dxa"/>
              <w:left w:w="100" w:type="dxa"/>
              <w:right w:w="100" w:type="dxa"/>
            </w:tcMar>
          </w:tcPr>
          <w:p>
            <w:pPr>
              <w:spacing w:after="0" w:line="276" w:lineRule="auto"/>
            </w:pPr>
            <w:r>
              <w:rPr>
                <w:b/>
                <w:sz w:val="19"/>
              </w:rPr>
              <w:t>5. Không Lọt File Rác vào Git</w:t>
            </w:r>
          </w:p>
        </w:tc>
        <w:tc>
          <w:tcPr>
            <w:tcW w:type="dxa" w:w="3888"/>
            <w:shd w:fill="F9FAFB"/>
            <w:tcMar>
              <w:top w:w="90" w:type="dxa"/>
              <w:bottom w:w="90" w:type="dxa"/>
              <w:left w:w="100" w:type="dxa"/>
              <w:right w:w="100" w:type="dxa"/>
            </w:tcMar>
          </w:tcPr>
          <w:p>
            <w:pPr>
              <w:spacing w:after="0" w:line="276" w:lineRule="auto"/>
            </w:pPr>
            <w:r>
              <w:rPr>
                <w:sz w:val="19"/>
              </w:rPr>
              <w:t>Không commit các file/thư mục: __pycache__/, .pytest_cache/, .venv/, file tạm Office ~$*.xlsx.</w:t>
            </w:r>
          </w:p>
        </w:tc>
        <w:tc>
          <w:tcPr>
            <w:tcW w:type="dxa" w:w="3168"/>
            <w:shd w:fill="F9FAFB"/>
            <w:tcMar>
              <w:top w:w="90" w:type="dxa"/>
              <w:bottom w:w="90" w:type="dxa"/>
              <w:left w:w="100" w:type="dxa"/>
              <w:right w:w="100" w:type="dxa"/>
            </w:tcMar>
          </w:tcPr>
          <w:p>
            <w:pPr>
              <w:spacing w:after="0" w:line="276" w:lineRule="auto"/>
            </w:pPr>
            <w:r>
              <w:rPr>
                <w:sz w:val="19"/>
              </w:rPr>
              <w:t>Làm phình dung lượng repo và gây xung đột môi trường cục bộ.</w:t>
            </w:r>
          </w:p>
        </w:tc>
      </w:tr>
      <w:tr>
        <w:tc>
          <w:tcPr>
            <w:tcW w:type="dxa" w:w="2592"/>
            <w:shd w:fill="FFFFFF"/>
            <w:tcMar>
              <w:top w:w="90" w:type="dxa"/>
              <w:bottom w:w="90" w:type="dxa"/>
              <w:left w:w="100" w:type="dxa"/>
              <w:right w:w="100" w:type="dxa"/>
            </w:tcMar>
          </w:tcPr>
          <w:p>
            <w:pPr>
              <w:spacing w:after="0" w:line="276" w:lineRule="auto"/>
            </w:pPr>
            <w:r>
              <w:rPr>
                <w:b/>
                <w:sz w:val="19"/>
              </w:rPr>
              <w:t>6. Đầy đủ Docstring &amp; Type Hint</w:t>
            </w:r>
          </w:p>
        </w:tc>
        <w:tc>
          <w:tcPr>
            <w:tcW w:type="dxa" w:w="3888"/>
            <w:shd w:fill="FFFFFF"/>
            <w:tcMar>
              <w:top w:w="90" w:type="dxa"/>
              <w:bottom w:w="90" w:type="dxa"/>
              <w:left w:w="100" w:type="dxa"/>
              <w:right w:w="100" w:type="dxa"/>
            </w:tcMar>
          </w:tcPr>
          <w:p>
            <w:pPr>
              <w:spacing w:after="0" w:line="276" w:lineRule="auto"/>
            </w:pPr>
            <w:r>
              <w:rPr>
                <w:sz w:val="19"/>
              </w:rPr>
              <w:t>Các hàm, module, lớp mới phải có docstring giải thích tham số, giá trị trả về và type annotations.</w:t>
            </w:r>
          </w:p>
        </w:tc>
        <w:tc>
          <w:tcPr>
            <w:tcW w:type="dxa" w:w="3168"/>
            <w:shd w:fill="FFFFFF"/>
            <w:tcMar>
              <w:top w:w="90" w:type="dxa"/>
              <w:bottom w:w="90" w:type="dxa"/>
              <w:left w:w="100" w:type="dxa"/>
              <w:right w:w="100" w:type="dxa"/>
            </w:tcMar>
          </w:tcPr>
          <w:p>
            <w:pPr>
              <w:spacing w:after="0" w:line="276" w:lineRule="auto"/>
            </w:pPr>
            <w:r>
              <w:rPr>
                <w:sz w:val="19"/>
              </w:rPr>
              <w:t>Giảm khả năng bảo trì và gây khó khăn cho thành viên phát triển tiếp theo.</w:t>
            </w:r>
          </w:p>
        </w:tc>
      </w:tr>
      <w:tr>
        <w:tc>
          <w:tcPr>
            <w:tcW w:type="dxa" w:w="2592"/>
            <w:shd w:fill="F9FAFB"/>
            <w:tcMar>
              <w:top w:w="90" w:type="dxa"/>
              <w:bottom w:w="90" w:type="dxa"/>
              <w:left w:w="100" w:type="dxa"/>
              <w:right w:w="100" w:type="dxa"/>
            </w:tcMar>
          </w:tcPr>
          <w:p>
            <w:pPr>
              <w:spacing w:after="0" w:line="276" w:lineRule="auto"/>
            </w:pPr>
            <w:r>
              <w:rPr>
                <w:b/>
                <w:sz w:val="19"/>
              </w:rPr>
              <w:t>7. Không Breaking Change Ngầm</w:t>
            </w:r>
          </w:p>
        </w:tc>
        <w:tc>
          <w:tcPr>
            <w:tcW w:type="dxa" w:w="3888"/>
            <w:shd w:fill="F9FAFB"/>
            <w:tcMar>
              <w:top w:w="90" w:type="dxa"/>
              <w:bottom w:w="90" w:type="dxa"/>
              <w:left w:w="100" w:type="dxa"/>
              <w:right w:w="100" w:type="dxa"/>
            </w:tcMar>
          </w:tcPr>
          <w:p>
            <w:pPr>
              <w:spacing w:after="0" w:line="276" w:lineRule="auto"/>
            </w:pPr>
            <w:r>
              <w:rPr>
                <w:sz w:val="19"/>
              </w:rPr>
              <w:t>Thay đổi cấu trúc dữ liệu (như tuple thay cho list) phải đảm bảo tương thích 100% với các hàm gọi.</w:t>
            </w:r>
          </w:p>
        </w:tc>
        <w:tc>
          <w:tcPr>
            <w:tcW w:type="dxa" w:w="3168"/>
            <w:shd w:fill="F9FAFB"/>
            <w:tcMar>
              <w:top w:w="90" w:type="dxa"/>
              <w:bottom w:w="90" w:type="dxa"/>
              <w:left w:w="100" w:type="dxa"/>
              <w:right w:w="100" w:type="dxa"/>
            </w:tcMar>
          </w:tcPr>
          <w:p>
            <w:pPr>
              <w:spacing w:after="0" w:line="276" w:lineRule="auto"/>
            </w:pPr>
            <w:r>
              <w:rPr>
                <w:sz w:val="19"/>
              </w:rPr>
              <w:t>Lỗi runtime âm thầm khi chạy suy luận webcam trực tiếp.</w:t>
            </w:r>
          </w:p>
        </w:tc>
      </w:tr>
    </w:tbl>
    <w:p>
      <w:pPr>
        <w:spacing w:after="80"/>
      </w:pPr>
    </w:p>
    <w:p>
      <w:pPr>
        <w:spacing w:before="240" w:after="80"/>
      </w:pPr>
      <w:r>
        <w:rPr>
          <w:b/>
          <w:color w:val="2E86C1"/>
          <w:sz w:val="26"/>
        </w:rPr>
        <w:t>Bước 3: Xác minh Kiểm thử Độc lập (Local Verification)</w:t>
      </w:r>
    </w:p>
    <w:p>
      <w:pPr/>
      <w:r>
        <w:t>Để loại trừ hoàn toàn rủi ro 'chạy được trên máy tác giả nhưng lỗi trên máy khác', Reviewer thực hiện kéo nhánh về máy cục bộ và kiểm chứng độc lập:</w:t>
      </w:r>
    </w:p>
    <w:tbl>
      <w:tblPr>
        <w:tblW w:type="auto" w:w="0"/>
        <w:jc w:val="center"/>
        <w:tblLook w:firstColumn="1" w:firstRow="1" w:lastColumn="0" w:lastRow="0" w:noHBand="0" w:noVBand="1" w:val="04A0"/>
      </w:tblPr>
      <w:tblGrid>
        <w:gridCol w:w="9648"/>
      </w:tblGrid>
      <w:tr>
        <w:tc>
          <w:tcPr>
            <w:tcW w:type="dxa" w:w="9648"/>
            <w:shd w:fill="1E1E1E"/>
            <w:tcMar>
              <w:top w:w="120" w:type="dxa"/>
              <w:bottom w:w="120" w:type="dxa"/>
              <w:left w:w="150" w:type="dxa"/>
              <w:right w:w="150" w:type="dxa"/>
            </w:tcMar>
          </w:tcPr>
          <w:p>
            <w:pPr>
              <w:spacing w:after="0"/>
            </w:pPr>
            <w:r>
              <w:rPr>
                <w:rFonts w:ascii="Consolas" w:hAnsi="Consolas"/>
                <w:color w:val="D4D4D4"/>
                <w:sz w:val="19"/>
              </w:rPr>
              <w:t># 1. Fetch va checkout sang nhanh cua Pull Request</w:t>
              <w:br/>
              <w:t>git fetch origin feature/US-002</w:t>
              <w:br/>
              <w:t>git checkout feature/US-002</w:t>
              <w:br/>
              <w:br/>
              <w:t># 2. Chay toan bo test suite kiem thu chat luong</w:t>
              <w:br/>
              <w:t>&amp; "D:\program\python\python.exe" -m pytest tests -v</w:t>
              <w:br/>
              <w:br/>
              <w:t># 3. Kiem thu hoi quy toan pipeline mo hinh (bat buoc dat 23/23 ky tu dung)</w:t>
              <w:br/>
              <w:t>&amp; "D:\program\python\python.exe" -m pytest tests/test_pipeline_baseline.py -v</w:t>
            </w:r>
          </w:p>
        </w:tc>
      </w:tr>
    </w:tbl>
    <w:p>
      <w:pPr>
        <w:spacing w:before="120" w:after="80"/>
      </w:pPr>
      <w:r>
        <w:rPr>
          <w:b/>
        </w:rPr>
        <w:t xml:space="preserve">👉 </w:t>
      </w:r>
      <w:r>
        <w:rPr>
          <w:b/>
        </w:rPr>
        <w:t xml:space="preserve">Điều kiện bắt buộc qua cổng: </w:t>
      </w:r>
      <w:r>
        <w:t xml:space="preserve">Toàn bộ </w:t>
      </w:r>
      <w:r>
        <w:rPr>
          <w:b/>
        </w:rPr>
        <w:t>14/14 test phải đạt màu xanh PASSED</w:t>
      </w:r>
      <w:r>
        <w:t xml:space="preserve">, và mô hình nhận diện chính xác tuyệt đối </w:t>
      </w:r>
      <w:r>
        <w:rPr>
          <w:b/>
        </w:rPr>
        <w:t>23/23 ký tự mẫu</w:t>
      </w:r>
      <w:r>
        <w:t>.</w:t>
      </w:r>
    </w:p>
    <w:p>
      <w:pPr>
        <w:spacing w:before="240" w:after="80"/>
      </w:pPr>
      <w:r>
        <w:rPr>
          <w:b/>
          <w:color w:val="2E86C1"/>
          <w:sz w:val="26"/>
        </w:rPr>
        <w:t>Bước 4: Đối chiếu Tài liệu &amp; Hợp đồng API</w:t>
      </w:r>
    </w:p>
    <w:p>
      <w:pPr/>
      <w:r>
        <w:t>Mọi User Story khi nghiệm thu đều bắt buộc phải đi kèm tài liệu phản ánh đúng thực tế mã nguồn:</w:t>
      </w:r>
    </w:p>
    <w:p>
      <w:pPr>
        <w:spacing w:after="60"/>
        <w:ind w:left="360"/>
      </w:pPr>
      <w:r>
        <w:rPr>
          <w:b/>
        </w:rPr>
        <w:t xml:space="preserve">✓ </w:t>
      </w:r>
      <w:r>
        <w:rPr>
          <w:b/>
        </w:rPr>
        <w:t xml:space="preserve">Kiểm tra File Hợp đồng API (docs/api/US-0XX.md): </w:t>
      </w:r>
      <w:r>
        <w:t>Đầy đủ 17 mục theo đúng mẫu _TEMPLATE.md; Trạng thái ghi nhận ANALYSIS_READY và Nghiệm thu: PASS; Chữ ký hàm, tham số, giá trị trả về trong code khớp 100% với tài liệu.</w:t>
      </w:r>
    </w:p>
    <w:p>
      <w:pPr>
        <w:spacing w:after="60"/>
        <w:ind w:left="360"/>
      </w:pPr>
      <w:r>
        <w:rPr>
          <w:b/>
        </w:rPr>
        <w:t xml:space="preserve">✓ </w:t>
      </w:r>
      <w:r>
        <w:rPr>
          <w:b/>
        </w:rPr>
        <w:t xml:space="preserve">Kiểm tra Nhật ký Thực hiện (docs/WORKFLOW.md): </w:t>
      </w:r>
      <w:r>
        <w:t>Bảng Mục 12 (Nhật ký thực hiện) đã được bổ sung dòng ghi nhận User Story tương ứng: Ngày, Mã US, Nhánh, File API docs, Task xong, Kết quả AC và xác nhận của Chủ dự án.</w:t>
      </w:r>
    </w:p>
    <w:p>
      <w:pPr>
        <w:spacing w:before="240" w:after="80"/>
      </w:pPr>
      <w:r>
        <w:rPr>
          <w:b/>
          <w:color w:val="2E86C1"/>
          <w:sz w:val="26"/>
        </w:rPr>
        <w:t>Bước 5: Phê duyệt (Approve) &amp; Hợp nhất (Merge vào develop)</w:t>
      </w:r>
    </w:p>
    <w:p>
      <w:pPr/>
      <w:r>
        <w:t>Khi toàn bộ 4 bước thẩm định trên đều đã được xác nhận đạt chuẩn:</w:t>
      </w:r>
    </w:p>
    <w:p>
      <w:pPr>
        <w:spacing w:after="80"/>
        <w:ind w:left="360"/>
      </w:pPr>
      <w:r>
        <w:rPr>
          <w:b/>
        </w:rPr>
        <w:t xml:space="preserve">1. Đánh dấu Checklist Người duyệt: </w:t>
      </w:r>
      <w:r>
        <w:t>Reviewer tick chọn toàn bộ các ô trong mục 'Checklist Người duyệt (Reviewer Checklist)' trên phần mô tả hoặc bình luận review của PR.</w:t>
      </w:r>
    </w:p>
    <w:p>
      <w:pPr>
        <w:spacing w:after="80"/>
        <w:ind w:left="360"/>
      </w:pPr>
      <w:r>
        <w:rPr>
          <w:b/>
        </w:rPr>
        <w:t xml:space="preserve">2. Gửi Review Phê duyệt (Approve): </w:t>
      </w:r>
      <w:r>
        <w:t>Nhấn nút 'Review changes' -&gt; Chọn 'Approve' -&gt; Để lại lời nhắn nghiệm thu rõ ràng (Ví dụ: 'Đã kiểm tra 14/14 test pass, pipeline 23/23 ký tự chính xác, mã nguồn sạch tuân thủ đúng BR-003. Approved!').</w:t>
      </w:r>
    </w:p>
    <w:p>
      <w:pPr>
        <w:spacing w:after="80"/>
        <w:ind w:left="360"/>
      </w:pPr>
      <w:r>
        <w:rPr>
          <w:b/>
        </w:rPr>
        <w:t xml:space="preserve">3. Thực hiện Merge PR: </w:t>
      </w:r>
      <w:r>
        <w:t>Nhấn nút 'Merge pull request' (chọn kiểu merge 'Squash and merge' hoặc 'Create a merge commit' theo quy ước nhóm) -&gt; Điền commit message chuẩn: feat(us-002): merge US-002 vao develop -&gt; Nhấn 'Confirm merge' để hoàn tất việc tích hợp mã nguồn vào nhánh develop.</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