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1E16" w14:textId="334F53E5" w:rsidR="003C156A" w:rsidRPr="0090052D" w:rsidRDefault="00150513" w:rsidP="00665E62">
      <w:pPr>
        <w:jc w:val="center"/>
        <w:rPr>
          <w:b/>
          <w:u w:val="single"/>
        </w:rPr>
      </w:pPr>
      <w:r w:rsidRPr="0090052D">
        <w:rPr>
          <w:b/>
          <w:u w:val="single"/>
        </w:rPr>
        <w:t>Support for 64-bit Windows 10 Home</w:t>
      </w:r>
    </w:p>
    <w:p w14:paraId="05525376" w14:textId="6B59B442" w:rsidR="00324F9C" w:rsidRPr="00324F9C" w:rsidRDefault="00324F9C" w:rsidP="00324F9C">
      <w:pPr>
        <w:rPr>
          <w:b/>
        </w:rPr>
      </w:pPr>
      <w:r w:rsidRPr="00324F9C">
        <w:rPr>
          <w:b/>
        </w:rPr>
        <w:t>Why STK?</w:t>
      </w:r>
    </w:p>
    <w:p w14:paraId="6B654AB9" w14:textId="0109F28A" w:rsidR="00324F9C" w:rsidRPr="00324F9C" w:rsidRDefault="00324F9C" w:rsidP="00324F9C">
      <w:r>
        <w:t>Systems Tool Kit (STK) is a</w:t>
      </w:r>
      <w:r w:rsidR="000D53EC">
        <w:t xml:space="preserve"> simulated</w:t>
      </w:r>
      <w:r>
        <w:t xml:space="preserve"> space environment</w:t>
      </w:r>
      <w:r w:rsidR="00446B88">
        <w:t xml:space="preserve"> that provides</w:t>
      </w:r>
      <w:r w:rsidR="000D53EC">
        <w:t xml:space="preserve"> accurate astrophysics and</w:t>
      </w:r>
      <w:r w:rsidR="00446B88">
        <w:t xml:space="preserve"> analytic tools to measure communications</w:t>
      </w:r>
      <w:r w:rsidR="0090052D">
        <w:t xml:space="preserve"> efficiency, solar power collection,</w:t>
      </w:r>
      <w:r w:rsidR="00446B88">
        <w:t xml:space="preserve"> and orbit of </w:t>
      </w:r>
      <w:proofErr w:type="spellStart"/>
      <w:r w:rsidR="00446B88">
        <w:t>CougSat</w:t>
      </w:r>
      <w:proofErr w:type="spellEnd"/>
      <w:r w:rsidR="00446B88">
        <w:t xml:space="preserve"> I</w:t>
      </w:r>
      <w:r w:rsidR="0090052D">
        <w:t xml:space="preserve"> throughout its lifetime</w:t>
      </w:r>
      <w:r w:rsidR="00446B88">
        <w:t>. STK</w:t>
      </w:r>
      <w:r w:rsidR="0090052D">
        <w:t xml:space="preserve"> also</w:t>
      </w:r>
      <w:r w:rsidR="00446B88">
        <w:t xml:space="preserve"> allows for integration of state machines that represent individual circuit board behavior</w:t>
      </w:r>
      <w:r w:rsidR="0090052D">
        <w:t xml:space="preserve"> within the satellite.</w:t>
      </w:r>
    </w:p>
    <w:p w14:paraId="09B9C9F5" w14:textId="36E5661D" w:rsidR="00665E62" w:rsidRDefault="00665E62" w:rsidP="00665E62">
      <w:pPr>
        <w:rPr>
          <w:b/>
        </w:rPr>
      </w:pPr>
      <w:r>
        <w:rPr>
          <w:b/>
        </w:rPr>
        <w:t>Installing STK</w:t>
      </w:r>
    </w:p>
    <w:p w14:paraId="198B2ACC" w14:textId="279E8C72" w:rsidR="00665E62" w:rsidRDefault="00665E62" w:rsidP="00665E6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4646A">
          <w:rPr>
            <w:rStyle w:val="Hyperlink"/>
          </w:rPr>
          <w:t>http://licensing.agi.com/stk/</w:t>
        </w:r>
      </w:hyperlink>
    </w:p>
    <w:p w14:paraId="7999E573" w14:textId="53C02124" w:rsidR="00665E62" w:rsidRDefault="00665E62" w:rsidP="00665E62">
      <w:pPr>
        <w:pStyle w:val="ListParagraph"/>
        <w:numPr>
          <w:ilvl w:val="0"/>
          <w:numId w:val="1"/>
        </w:numPr>
      </w:pPr>
      <w:r>
        <w:t>Click “Download STK”</w:t>
      </w:r>
    </w:p>
    <w:p w14:paraId="0CC43E65" w14:textId="1F53C1B3" w:rsidR="00665E62" w:rsidRDefault="000D53EC" w:rsidP="00665E62">
      <w:pPr>
        <w:pStyle w:val="ListParagraph"/>
      </w:pPr>
      <w:r>
        <w:rPr>
          <w:noProof/>
        </w:rPr>
        <w:drawing>
          <wp:inline distT="0" distB="0" distL="0" distR="0" wp14:anchorId="68DE082E" wp14:editId="46198037">
            <wp:extent cx="5943600" cy="319527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3542" w14:textId="050BA6F9" w:rsidR="00665E62" w:rsidRDefault="00665E62" w:rsidP="00665E62">
      <w:pPr>
        <w:pStyle w:val="ListParagraph"/>
        <w:numPr>
          <w:ilvl w:val="0"/>
          <w:numId w:val="1"/>
        </w:numPr>
      </w:pPr>
      <w:r>
        <w:t>Login or Sign Up for an AGI account with your WSU e-mail</w:t>
      </w:r>
    </w:p>
    <w:p w14:paraId="36DFB680" w14:textId="0228BB4A" w:rsidR="002A47F8" w:rsidRDefault="008551E8" w:rsidP="00665E62">
      <w:pPr>
        <w:pStyle w:val="ListParagraph"/>
        <w:numPr>
          <w:ilvl w:val="0"/>
          <w:numId w:val="1"/>
        </w:numPr>
      </w:pPr>
      <w:r>
        <w:t>Download the</w:t>
      </w:r>
      <w:r w:rsidR="002A47F8">
        <w:t xml:space="preserve"> </w:t>
      </w:r>
      <w:r w:rsidR="00C77168">
        <w:t>“</w:t>
      </w:r>
      <w:r w:rsidR="002A47F8">
        <w:t>STK</w:t>
      </w:r>
      <w:r w:rsidR="00C77168">
        <w:t xml:space="preserve"> &amp; Add-Ons”</w:t>
      </w:r>
      <w:r>
        <w:t xml:space="preserve"> files</w:t>
      </w:r>
    </w:p>
    <w:p w14:paraId="2B115A40" w14:textId="11578DE3" w:rsidR="00665E62" w:rsidRDefault="000D53EC" w:rsidP="002A47F8">
      <w:pPr>
        <w:pStyle w:val="ListParagraph"/>
      </w:pPr>
      <w:r>
        <w:rPr>
          <w:noProof/>
        </w:rPr>
        <w:drawing>
          <wp:inline distT="0" distB="0" distL="0" distR="0" wp14:anchorId="5384F54A" wp14:editId="3E89B845">
            <wp:extent cx="5943600" cy="230136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4C15" w14:textId="360A2A0F" w:rsidR="00665E62" w:rsidRDefault="00665E62" w:rsidP="00665E62">
      <w:pPr>
        <w:pStyle w:val="ListParagraph"/>
        <w:numPr>
          <w:ilvl w:val="0"/>
          <w:numId w:val="1"/>
        </w:numPr>
      </w:pPr>
      <w:r>
        <w:t>Unzip the STKXXXX-64_DVD folder</w:t>
      </w:r>
    </w:p>
    <w:p w14:paraId="13DA6D39" w14:textId="3EFC5DFC" w:rsidR="00665E62" w:rsidRDefault="00665E62" w:rsidP="00665E62">
      <w:pPr>
        <w:pStyle w:val="ListParagraph"/>
        <w:numPr>
          <w:ilvl w:val="0"/>
          <w:numId w:val="1"/>
        </w:numPr>
      </w:pPr>
      <w:r>
        <w:lastRenderedPageBreak/>
        <w:t>Open the unzipped STKXXXX-64_DVD folder</w:t>
      </w:r>
    </w:p>
    <w:p w14:paraId="329FF954" w14:textId="4588BE68" w:rsidR="00F3266A" w:rsidRDefault="00665E62" w:rsidP="00665E62">
      <w:pPr>
        <w:pStyle w:val="ListParagraph"/>
        <w:numPr>
          <w:ilvl w:val="0"/>
          <w:numId w:val="1"/>
        </w:numPr>
      </w:pPr>
      <w:r>
        <w:t xml:space="preserve">Double click the install.exe application </w:t>
      </w:r>
      <w:r w:rsidR="00C77168">
        <w:t>to install STK</w:t>
      </w:r>
    </w:p>
    <w:p w14:paraId="49609ED7" w14:textId="608392B4" w:rsidR="00F3266A" w:rsidRDefault="00F3266A" w:rsidP="00F3266A">
      <w:pPr>
        <w:pStyle w:val="ListParagraph"/>
      </w:pPr>
      <w:r>
        <w:rPr>
          <w:noProof/>
        </w:rPr>
        <w:drawing>
          <wp:inline distT="0" distB="0" distL="0" distR="0" wp14:anchorId="1A87B81D" wp14:editId="14BE3853">
            <wp:extent cx="5943600" cy="2983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84F" w14:textId="77777777" w:rsidR="008551E8" w:rsidRDefault="001444EB" w:rsidP="001444EB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LicenseData</w:t>
      </w:r>
      <w:proofErr w:type="spellEnd"/>
      <w:r>
        <w:t xml:space="preserve"> folder. By default, STK installs this in the path “</w:t>
      </w:r>
      <w:r w:rsidRPr="001444EB">
        <w:t>C:\</w:t>
      </w:r>
      <w:proofErr w:type="spellStart"/>
      <w:r w:rsidRPr="001444EB">
        <w:t>ProgramData</w:t>
      </w:r>
      <w:proofErr w:type="spellEnd"/>
      <w:r w:rsidRPr="001444EB">
        <w:t>\AGI\</w:t>
      </w:r>
      <w:proofErr w:type="spellStart"/>
      <w:r w:rsidRPr="001444EB">
        <w:t>LicenseData</w:t>
      </w:r>
      <w:r>
        <w:t>”</w:t>
      </w:r>
      <w:proofErr w:type="spellEnd"/>
    </w:p>
    <w:p w14:paraId="53762278" w14:textId="1932DD16" w:rsidR="001444EB" w:rsidRDefault="001444EB" w:rsidP="001444EB">
      <w:pPr>
        <w:pStyle w:val="ListParagraph"/>
        <w:numPr>
          <w:ilvl w:val="0"/>
          <w:numId w:val="1"/>
        </w:numPr>
      </w:pPr>
      <w:r>
        <w:t>Within th</w:t>
      </w:r>
      <w:r w:rsidR="008551E8">
        <w:t>e License Data</w:t>
      </w:r>
      <w:r>
        <w:t xml:space="preserve"> folder,</w:t>
      </w:r>
      <w:r w:rsidR="008551E8">
        <w:t xml:space="preserve"> add your license. You may use a free license or an academic license.</w:t>
      </w:r>
      <w:r w:rsidR="00A618F0">
        <w:t xml:space="preserve"> To get the most accurate possible portrayal of </w:t>
      </w:r>
      <w:proofErr w:type="spellStart"/>
      <w:r w:rsidR="00A618F0">
        <w:t>CougSat</w:t>
      </w:r>
      <w:proofErr w:type="spellEnd"/>
      <w:r w:rsidR="00A618F0">
        <w:t xml:space="preserve"> I, we recommend obtaining an academic license because f</w:t>
      </w:r>
      <w:r w:rsidR="00A618F0" w:rsidRPr="008551E8">
        <w:t>ree licenses do not support Antenna, Transmitter, Receiver, or Solar Panel components</w:t>
      </w:r>
      <w:r w:rsidR="00A618F0">
        <w:t xml:space="preserve">, all of which are crucial for </w:t>
      </w:r>
      <w:proofErr w:type="spellStart"/>
      <w:r w:rsidR="00A618F0">
        <w:t>CougSat</w:t>
      </w:r>
      <w:proofErr w:type="spellEnd"/>
      <w:r w:rsidR="00A618F0">
        <w:t xml:space="preserve"> I</w:t>
      </w:r>
      <w:r w:rsidR="00A618F0" w:rsidRPr="008551E8">
        <w:t>. Those components are available in Academic licenses, available through the Chief Technology Officer or Crandall.</w:t>
      </w:r>
    </w:p>
    <w:p w14:paraId="3FDBC5FC" w14:textId="77777777" w:rsidR="008551E8" w:rsidRDefault="008551E8" w:rsidP="008551E8">
      <w:pPr>
        <w:pStyle w:val="ListParagraph"/>
        <w:numPr>
          <w:ilvl w:val="1"/>
          <w:numId w:val="1"/>
        </w:numPr>
      </w:pPr>
      <w:r w:rsidRPr="008551E8">
        <w:rPr>
          <w:b/>
        </w:rPr>
        <w:t>Free</w:t>
      </w:r>
      <w:r>
        <w:t xml:space="preserve">: </w:t>
      </w:r>
    </w:p>
    <w:p w14:paraId="210BDE4F" w14:textId="037BE657" w:rsidR="008551E8" w:rsidRDefault="008551E8" w:rsidP="008551E8">
      <w:pPr>
        <w:pStyle w:val="ListParagraph"/>
        <w:numPr>
          <w:ilvl w:val="1"/>
          <w:numId w:val="1"/>
        </w:numPr>
      </w:pPr>
      <w:r w:rsidRPr="008551E8">
        <w:rPr>
          <w:b/>
        </w:rPr>
        <w:t>Academic</w:t>
      </w:r>
      <w:r>
        <w:t xml:space="preserve">: </w:t>
      </w:r>
      <w:r>
        <w:t>C</w:t>
      </w:r>
      <w:r w:rsidRPr="008551E8">
        <w:t>reate</w:t>
      </w:r>
      <w:r>
        <w:t xml:space="preserve"> a new text document, paste the academic license contents in the document, and save as “</w:t>
      </w:r>
      <w:proofErr w:type="spellStart"/>
      <w:r>
        <w:t>STK_EDUCATION.lic</w:t>
      </w:r>
      <w:proofErr w:type="spellEnd"/>
      <w:r>
        <w:t>”</w:t>
      </w:r>
    </w:p>
    <w:p w14:paraId="17DC2B3F" w14:textId="5145742D" w:rsidR="001444EB" w:rsidRDefault="001444EB" w:rsidP="001444EB">
      <w:pPr>
        <w:pStyle w:val="ListParagraph"/>
        <w:numPr>
          <w:ilvl w:val="0"/>
          <w:numId w:val="1"/>
        </w:numPr>
      </w:pPr>
      <w:r>
        <w:t>Go to the Start Menu to access the License Manager. By default, STK creates a folder in the Start menu called STK Support Tools. Within this menu, select the License Manager.</w:t>
      </w:r>
    </w:p>
    <w:p w14:paraId="7086C147" w14:textId="210CE4FA" w:rsidR="001444EB" w:rsidRDefault="00C77168" w:rsidP="001444EB">
      <w:pPr>
        <w:pStyle w:val="ListParagraph"/>
      </w:pPr>
      <w:r>
        <w:rPr>
          <w:noProof/>
        </w:rPr>
        <w:lastRenderedPageBreak/>
        <w:drawing>
          <wp:inline distT="0" distB="0" distL="0" distR="0" wp14:anchorId="540803D6" wp14:editId="6AC54633">
            <wp:extent cx="5943600" cy="3341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72E5" w14:textId="67D0E549" w:rsidR="00665E62" w:rsidRDefault="00F3266A" w:rsidP="00665E62">
      <w:pPr>
        <w:pStyle w:val="ListParagraph"/>
        <w:numPr>
          <w:ilvl w:val="0"/>
          <w:numId w:val="1"/>
        </w:numPr>
      </w:pPr>
      <w:r>
        <w:t>The License Manager should</w:t>
      </w:r>
      <w:r w:rsidR="001444EB">
        <w:t xml:space="preserve"> </w:t>
      </w:r>
      <w:proofErr w:type="gramStart"/>
      <w:r w:rsidR="00B45041">
        <w:t>open up</w:t>
      </w:r>
      <w:proofErr w:type="gramEnd"/>
      <w:r w:rsidR="00B45041">
        <w:t>. If it does not,</w:t>
      </w:r>
      <w:r w:rsidR="001444EB">
        <w:t xml:space="preserve"> install the License Manager by</w:t>
      </w:r>
      <w:r w:rsidR="00B45041">
        <w:t xml:space="preserve"> go</w:t>
      </w:r>
      <w:r w:rsidR="001444EB">
        <w:t>ing</w:t>
      </w:r>
      <w:r w:rsidR="00B45041">
        <w:t xml:space="preserve"> to the STKXXXX-64_DVD folder, </w:t>
      </w:r>
      <w:proofErr w:type="spellStart"/>
      <w:r w:rsidR="00B45041">
        <w:t>STK_License</w:t>
      </w:r>
      <w:proofErr w:type="spellEnd"/>
      <w:r w:rsidR="00B45041">
        <w:t xml:space="preserve"> Manager.</w:t>
      </w:r>
    </w:p>
    <w:p w14:paraId="3B55BBFB" w14:textId="48FA1B50" w:rsidR="00B45041" w:rsidRDefault="00B45041" w:rsidP="00B45041">
      <w:pPr>
        <w:pStyle w:val="ListParagraph"/>
      </w:pPr>
      <w:r>
        <w:rPr>
          <w:noProof/>
        </w:rPr>
        <w:drawing>
          <wp:inline distT="0" distB="0" distL="0" distR="0" wp14:anchorId="064C1044" wp14:editId="270DAEEA">
            <wp:extent cx="5943600" cy="341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A83" w14:textId="77777777" w:rsidR="001444EB" w:rsidRDefault="001444EB" w:rsidP="00B45041">
      <w:pPr>
        <w:pStyle w:val="ListParagraph"/>
      </w:pPr>
    </w:p>
    <w:p w14:paraId="3FD63A7E" w14:textId="490B53EA" w:rsidR="00B45041" w:rsidRDefault="00B45041" w:rsidP="001444EB">
      <w:pPr>
        <w:pStyle w:val="ListParagraph"/>
        <w:numPr>
          <w:ilvl w:val="1"/>
          <w:numId w:val="1"/>
        </w:numPr>
      </w:pPr>
      <w:r>
        <w:t xml:space="preserve">Select the </w:t>
      </w:r>
      <w:proofErr w:type="spellStart"/>
      <w:r>
        <w:t>STK_License</w:t>
      </w:r>
      <w:proofErr w:type="spellEnd"/>
      <w:r>
        <w:t xml:space="preserve"> Manager.msi application</w:t>
      </w:r>
    </w:p>
    <w:p w14:paraId="02D2569B" w14:textId="3F3DA33E" w:rsidR="00B45041" w:rsidRDefault="00B45041" w:rsidP="00B45041">
      <w:pPr>
        <w:pStyle w:val="ListParagraph"/>
      </w:pPr>
      <w:r>
        <w:rPr>
          <w:noProof/>
        </w:rPr>
        <w:lastRenderedPageBreak/>
        <w:drawing>
          <wp:inline distT="0" distB="0" distL="0" distR="0" wp14:anchorId="3AAC64E1" wp14:editId="7BB83F7C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89E" w14:textId="2D22F5F5" w:rsidR="006B7191" w:rsidRDefault="006B7191" w:rsidP="001444EB">
      <w:pPr>
        <w:pStyle w:val="ListParagraph"/>
        <w:numPr>
          <w:ilvl w:val="0"/>
          <w:numId w:val="1"/>
        </w:numPr>
      </w:pPr>
      <w:r>
        <w:t xml:space="preserve">Once the License Manager is opened, select the “Manage Licenses” tab. By default, the path to </w:t>
      </w:r>
      <w:r w:rsidR="00C77168">
        <w:t>t</w:t>
      </w:r>
      <w:r>
        <w:t xml:space="preserve">he </w:t>
      </w:r>
      <w:proofErr w:type="spellStart"/>
      <w:r>
        <w:t>LicenseData</w:t>
      </w:r>
      <w:proofErr w:type="spellEnd"/>
      <w:r>
        <w:t xml:space="preserve"> folder will be in License Directories. The </w:t>
      </w:r>
      <w:proofErr w:type="spellStart"/>
      <w:r>
        <w:t>STK_EDUCATION.lic</w:t>
      </w:r>
      <w:proofErr w:type="spellEnd"/>
      <w:r>
        <w:t xml:space="preserve"> file should automatically show up in the “Installed Licenses” section. If it does not, manually add it by clicking the </w:t>
      </w:r>
      <w:r>
        <w:rPr>
          <w:noProof/>
        </w:rPr>
        <w:drawing>
          <wp:inline distT="0" distB="0" distL="0" distR="0" wp14:anchorId="69D566C7" wp14:editId="3AD4D63B">
            <wp:extent cx="29527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</w:t>
      </w:r>
    </w:p>
    <w:p w14:paraId="5A424A40" w14:textId="7DC675C0" w:rsidR="001444EB" w:rsidRDefault="00C77168" w:rsidP="006B7191">
      <w:pPr>
        <w:pStyle w:val="ListParagraph"/>
      </w:pPr>
      <w:r>
        <w:rPr>
          <w:noProof/>
        </w:rPr>
        <w:drawing>
          <wp:inline distT="0" distB="0" distL="0" distR="0" wp14:anchorId="57539118" wp14:editId="4ABADD3E">
            <wp:extent cx="5924550" cy="495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31CE" w14:textId="6EF1A751" w:rsidR="00D16123" w:rsidRDefault="00D16123" w:rsidP="00A618F0">
      <w:pPr>
        <w:pStyle w:val="ListParagraph"/>
        <w:numPr>
          <w:ilvl w:val="0"/>
          <w:numId w:val="1"/>
        </w:numPr>
      </w:pPr>
      <w:r>
        <w:lastRenderedPageBreak/>
        <w:t xml:space="preserve">Validate the license by clicking the </w:t>
      </w:r>
      <w:r>
        <w:rPr>
          <w:noProof/>
        </w:rPr>
        <w:drawing>
          <wp:inline distT="0" distB="0" distL="0" distR="0" wp14:anchorId="1B10D23B" wp14:editId="6F5DCF10">
            <wp:extent cx="20955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 </w:t>
      </w:r>
      <w:r w:rsidR="00A618F0">
        <w:t xml:space="preserve">The following features should have the following statuses for Free and Academic licenses, respectively. The possible statuses are </w:t>
      </w:r>
      <w:r w:rsidR="00A618F0" w:rsidRPr="00A618F0">
        <w:rPr>
          <w:color w:val="00B050"/>
        </w:rPr>
        <w:t>Good</w:t>
      </w:r>
      <w:r w:rsidR="00A618F0">
        <w:t xml:space="preserve"> and n/a. The highlighted features are mission-critical for accurate portrayal of </w:t>
      </w:r>
      <w:proofErr w:type="spellStart"/>
      <w:r w:rsidR="00A618F0">
        <w:t>CougSat</w:t>
      </w:r>
      <w:proofErr w:type="spellEnd"/>
      <w:r w:rsidR="00A618F0">
        <w:t xml:space="preserve"> I.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73"/>
        <w:gridCol w:w="2421"/>
        <w:gridCol w:w="2516"/>
      </w:tblGrid>
      <w:tr w:rsidR="00D16123" w14:paraId="0CA42507" w14:textId="77777777" w:rsidTr="00D16123">
        <w:tc>
          <w:tcPr>
            <w:tcW w:w="3116" w:type="dxa"/>
          </w:tcPr>
          <w:p w14:paraId="0A744FA6" w14:textId="5CDA14C0" w:rsidR="00D16123" w:rsidRPr="00D16123" w:rsidRDefault="00D16123" w:rsidP="00D16123">
            <w:pPr>
              <w:pStyle w:val="ListParagraph"/>
              <w:rPr>
                <w:b/>
              </w:rPr>
            </w:pPr>
            <w:r w:rsidRPr="00D16123">
              <w:rPr>
                <w:b/>
              </w:rPr>
              <w:t>Feature</w:t>
            </w:r>
          </w:p>
        </w:tc>
        <w:tc>
          <w:tcPr>
            <w:tcW w:w="3117" w:type="dxa"/>
          </w:tcPr>
          <w:p w14:paraId="2B203DCA" w14:textId="28ED93A4" w:rsidR="00D16123" w:rsidRPr="00D16123" w:rsidRDefault="00D16123" w:rsidP="00D16123">
            <w:pPr>
              <w:pStyle w:val="ListParagraph"/>
              <w:ind w:left="0"/>
              <w:jc w:val="center"/>
              <w:rPr>
                <w:b/>
              </w:rPr>
            </w:pPr>
            <w:r w:rsidRPr="00D16123">
              <w:rPr>
                <w:b/>
              </w:rPr>
              <w:t>Free Status</w:t>
            </w:r>
          </w:p>
        </w:tc>
        <w:tc>
          <w:tcPr>
            <w:tcW w:w="3117" w:type="dxa"/>
          </w:tcPr>
          <w:p w14:paraId="0EEF47DA" w14:textId="092E4745" w:rsidR="00D16123" w:rsidRPr="00D16123" w:rsidRDefault="00D16123" w:rsidP="00D16123">
            <w:pPr>
              <w:pStyle w:val="ListParagraph"/>
              <w:ind w:left="0"/>
              <w:jc w:val="center"/>
              <w:rPr>
                <w:b/>
              </w:rPr>
            </w:pPr>
            <w:r w:rsidRPr="00D16123">
              <w:rPr>
                <w:b/>
              </w:rPr>
              <w:t>Academic Status</w:t>
            </w:r>
          </w:p>
        </w:tc>
      </w:tr>
      <w:tr w:rsidR="00D16123" w14:paraId="0FAA5F3F" w14:textId="77777777" w:rsidTr="00D16123">
        <w:tc>
          <w:tcPr>
            <w:tcW w:w="3116" w:type="dxa"/>
          </w:tcPr>
          <w:p w14:paraId="102D452D" w14:textId="7EF86F6B" w:rsidR="00D16123" w:rsidRDefault="00D16123" w:rsidP="00A618F0">
            <w:pPr>
              <w:ind w:left="360"/>
            </w:pPr>
            <w:r>
              <w:t>Analysis Workbenc</w:t>
            </w:r>
            <w:r w:rsidR="00A618F0">
              <w:t>h</w:t>
            </w:r>
          </w:p>
        </w:tc>
        <w:tc>
          <w:tcPr>
            <w:tcW w:w="3117" w:type="dxa"/>
          </w:tcPr>
          <w:p w14:paraId="33C39BB3" w14:textId="2AC76405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7238FF63" w14:textId="3113C530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520AC255" w14:textId="77777777" w:rsidTr="00D16123">
        <w:tc>
          <w:tcPr>
            <w:tcW w:w="3116" w:type="dxa"/>
          </w:tcPr>
          <w:p w14:paraId="1614A51E" w14:textId="748632A2" w:rsidR="00D16123" w:rsidRDefault="00D16123" w:rsidP="00A618F0">
            <w:pPr>
              <w:ind w:left="360"/>
            </w:pPr>
            <w:proofErr w:type="spellStart"/>
            <w:r>
              <w:t>Astrogato</w:t>
            </w:r>
            <w:r w:rsidR="00A618F0">
              <w:t>r</w:t>
            </w:r>
            <w:proofErr w:type="spellEnd"/>
          </w:p>
        </w:tc>
        <w:tc>
          <w:tcPr>
            <w:tcW w:w="3117" w:type="dxa"/>
          </w:tcPr>
          <w:p w14:paraId="310F3057" w14:textId="3E54D860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2EBE352D" w14:textId="2D126E57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50F16E58" w14:textId="77777777" w:rsidTr="00D16123">
        <w:tc>
          <w:tcPr>
            <w:tcW w:w="3116" w:type="dxa"/>
          </w:tcPr>
          <w:p w14:paraId="01CE1F8F" w14:textId="3932E59A" w:rsidR="00D16123" w:rsidRDefault="00A618F0" w:rsidP="00A618F0">
            <w:pPr>
              <w:ind w:left="360"/>
            </w:pPr>
            <w:r>
              <w:t>ATT</w:t>
            </w:r>
          </w:p>
        </w:tc>
        <w:tc>
          <w:tcPr>
            <w:tcW w:w="3117" w:type="dxa"/>
          </w:tcPr>
          <w:p w14:paraId="5B9D5AE8" w14:textId="57FDBC6E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3EB56BB2" w14:textId="06583086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</w:tr>
      <w:tr w:rsidR="00D16123" w14:paraId="6C02598E" w14:textId="77777777" w:rsidTr="00D16123">
        <w:tc>
          <w:tcPr>
            <w:tcW w:w="3116" w:type="dxa"/>
          </w:tcPr>
          <w:p w14:paraId="59230846" w14:textId="13C6D977" w:rsidR="00D16123" w:rsidRDefault="00A618F0" w:rsidP="00A618F0">
            <w:pPr>
              <w:ind w:left="360"/>
            </w:pPr>
            <w:r>
              <w:t>Aviator</w:t>
            </w:r>
          </w:p>
        </w:tc>
        <w:tc>
          <w:tcPr>
            <w:tcW w:w="3117" w:type="dxa"/>
          </w:tcPr>
          <w:p w14:paraId="30014B42" w14:textId="3C32B4D5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3CB0F70C" w14:textId="5C47F14F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272B5ED9" w14:textId="77777777" w:rsidTr="00D16123">
        <w:tc>
          <w:tcPr>
            <w:tcW w:w="3116" w:type="dxa"/>
          </w:tcPr>
          <w:p w14:paraId="31328064" w14:textId="1EA3B7E5" w:rsidR="00D16123" w:rsidRPr="00A618F0" w:rsidRDefault="00A618F0" w:rsidP="00A618F0">
            <w:pPr>
              <w:ind w:left="360"/>
              <w:rPr>
                <w:b/>
              </w:rPr>
            </w:pPr>
            <w:r w:rsidRPr="00A618F0">
              <w:rPr>
                <w:b/>
                <w:highlight w:val="yellow"/>
              </w:rPr>
              <w:t>Communications</w:t>
            </w:r>
          </w:p>
        </w:tc>
        <w:tc>
          <w:tcPr>
            <w:tcW w:w="3117" w:type="dxa"/>
          </w:tcPr>
          <w:p w14:paraId="79745411" w14:textId="0050264D" w:rsidR="00D16123" w:rsidRPr="00A618F0" w:rsidRDefault="00A618F0" w:rsidP="00D16123">
            <w:pPr>
              <w:pStyle w:val="ListParagraph"/>
              <w:ind w:left="0"/>
              <w:rPr>
                <w:b/>
              </w:rPr>
            </w:pPr>
            <w:r>
              <w:t>n/a</w:t>
            </w:r>
          </w:p>
        </w:tc>
        <w:tc>
          <w:tcPr>
            <w:tcW w:w="3117" w:type="dxa"/>
          </w:tcPr>
          <w:p w14:paraId="7ECA04E9" w14:textId="6C26741D" w:rsidR="00D16123" w:rsidRPr="00A618F0" w:rsidRDefault="00A618F0" w:rsidP="00D16123">
            <w:pPr>
              <w:pStyle w:val="ListParagraph"/>
              <w:ind w:left="0"/>
              <w:rPr>
                <w:b/>
                <w:color w:val="00B050"/>
              </w:rPr>
            </w:pPr>
            <w:r w:rsidRPr="00A618F0">
              <w:rPr>
                <w:b/>
                <w:color w:val="00B050"/>
              </w:rPr>
              <w:t>Good</w:t>
            </w:r>
          </w:p>
        </w:tc>
      </w:tr>
      <w:tr w:rsidR="00D16123" w14:paraId="30D25D10" w14:textId="77777777" w:rsidTr="00D16123">
        <w:tc>
          <w:tcPr>
            <w:tcW w:w="3116" w:type="dxa"/>
          </w:tcPr>
          <w:p w14:paraId="45E27C94" w14:textId="2738639D" w:rsidR="00D16123" w:rsidRDefault="00A618F0" w:rsidP="00A618F0">
            <w:pPr>
              <w:ind w:left="360"/>
            </w:pPr>
            <w:r>
              <w:t>Conjunction Analysis Tool</w:t>
            </w:r>
          </w:p>
        </w:tc>
        <w:tc>
          <w:tcPr>
            <w:tcW w:w="3117" w:type="dxa"/>
          </w:tcPr>
          <w:p w14:paraId="1CD21A20" w14:textId="3A7A05FF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434107BB" w14:textId="708CEEE6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33D92FD2" w14:textId="77777777" w:rsidTr="00D16123">
        <w:tc>
          <w:tcPr>
            <w:tcW w:w="3116" w:type="dxa"/>
          </w:tcPr>
          <w:p w14:paraId="1148F745" w14:textId="4AED7758" w:rsidR="00D16123" w:rsidRDefault="00A618F0" w:rsidP="00A618F0">
            <w:pPr>
              <w:ind w:left="360"/>
            </w:pPr>
            <w:r>
              <w:t>Coverage</w:t>
            </w:r>
          </w:p>
        </w:tc>
        <w:tc>
          <w:tcPr>
            <w:tcW w:w="3117" w:type="dxa"/>
          </w:tcPr>
          <w:p w14:paraId="3742DE58" w14:textId="7644DC4D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1B58AC5D" w14:textId="050C81F8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5AE4B5F2" w14:textId="77777777" w:rsidTr="00D16123">
        <w:tc>
          <w:tcPr>
            <w:tcW w:w="3116" w:type="dxa"/>
          </w:tcPr>
          <w:p w14:paraId="2E0C626F" w14:textId="026DCB9B" w:rsidR="00D16123" w:rsidRDefault="00D16123" w:rsidP="00A618F0">
            <w:pPr>
              <w:ind w:left="360"/>
            </w:pPr>
            <w:r>
              <w:t xml:space="preserve">MATLAB Interface </w:t>
            </w:r>
            <w:proofErr w:type="spellStart"/>
            <w:r>
              <w:t>MexCon</w:t>
            </w:r>
            <w:proofErr w:type="spellEnd"/>
          </w:p>
        </w:tc>
        <w:tc>
          <w:tcPr>
            <w:tcW w:w="3117" w:type="dxa"/>
          </w:tcPr>
          <w:p w14:paraId="2C28F951" w14:textId="4AC47FEA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3AF16CB9" w14:textId="6FEC5DDA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3F7556E2" w14:textId="77777777" w:rsidTr="00D16123">
        <w:tc>
          <w:tcPr>
            <w:tcW w:w="3116" w:type="dxa"/>
          </w:tcPr>
          <w:p w14:paraId="1324DC5C" w14:textId="39FD7B3C" w:rsidR="00D16123" w:rsidRDefault="00D16123" w:rsidP="00A618F0">
            <w:pPr>
              <w:ind w:left="360"/>
            </w:pPr>
            <w:r>
              <w:t>Model Center Carpet Plot</w:t>
            </w:r>
          </w:p>
        </w:tc>
        <w:tc>
          <w:tcPr>
            <w:tcW w:w="3117" w:type="dxa"/>
          </w:tcPr>
          <w:p w14:paraId="082667ED" w14:textId="01105242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446DB2E8" w14:textId="12F6FDB5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343E64B3" w14:textId="77777777" w:rsidTr="00D16123">
        <w:tc>
          <w:tcPr>
            <w:tcW w:w="3116" w:type="dxa"/>
          </w:tcPr>
          <w:p w14:paraId="1392E576" w14:textId="0E1766EA" w:rsidR="00D16123" w:rsidRDefault="00D16123" w:rsidP="00A618F0">
            <w:pPr>
              <w:ind w:left="360"/>
            </w:pPr>
            <w:r>
              <w:t>Model Center Data Visualizer</w:t>
            </w:r>
          </w:p>
        </w:tc>
        <w:tc>
          <w:tcPr>
            <w:tcW w:w="3117" w:type="dxa"/>
          </w:tcPr>
          <w:p w14:paraId="05798CAE" w14:textId="6A306D5D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23169427" w14:textId="3EAA3E65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5EEB1E17" w14:textId="77777777" w:rsidTr="00D16123">
        <w:tc>
          <w:tcPr>
            <w:tcW w:w="3116" w:type="dxa"/>
          </w:tcPr>
          <w:p w14:paraId="58A9FA46" w14:textId="7B179254" w:rsidR="00D16123" w:rsidRDefault="00D16123" w:rsidP="00A618F0">
            <w:pPr>
              <w:ind w:left="360"/>
            </w:pPr>
            <w:r>
              <w:t>Model Center Design of Experiments</w:t>
            </w:r>
          </w:p>
        </w:tc>
        <w:tc>
          <w:tcPr>
            <w:tcW w:w="3117" w:type="dxa"/>
          </w:tcPr>
          <w:p w14:paraId="0BF321B4" w14:textId="5EE07C40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0960BACE" w14:textId="594E2BDE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45C91020" w14:textId="77777777" w:rsidTr="00D16123">
        <w:tc>
          <w:tcPr>
            <w:tcW w:w="3116" w:type="dxa"/>
          </w:tcPr>
          <w:p w14:paraId="7CEE4D77" w14:textId="3788413F" w:rsidR="00D16123" w:rsidRDefault="00D16123" w:rsidP="00A618F0">
            <w:pPr>
              <w:ind w:left="360"/>
            </w:pPr>
            <w:r>
              <w:t>Model Center Parametric Study</w:t>
            </w:r>
          </w:p>
        </w:tc>
        <w:tc>
          <w:tcPr>
            <w:tcW w:w="3117" w:type="dxa"/>
          </w:tcPr>
          <w:p w14:paraId="5D1ECAC3" w14:textId="650B8508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0155707D" w14:textId="50F84954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69236899" w14:textId="77777777" w:rsidTr="00D16123">
        <w:tc>
          <w:tcPr>
            <w:tcW w:w="3116" w:type="dxa"/>
          </w:tcPr>
          <w:p w14:paraId="4D7C759D" w14:textId="72BCB629" w:rsidR="00D16123" w:rsidRDefault="00D16123" w:rsidP="00A618F0">
            <w:pPr>
              <w:ind w:left="360"/>
            </w:pPr>
            <w:r>
              <w:t>Model Center Run</w:t>
            </w:r>
          </w:p>
        </w:tc>
        <w:tc>
          <w:tcPr>
            <w:tcW w:w="3117" w:type="dxa"/>
          </w:tcPr>
          <w:p w14:paraId="3AB8F31C" w14:textId="05FB5F53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6453424D" w14:textId="5C41D097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0D6BBAA6" w14:textId="77777777" w:rsidTr="00D16123">
        <w:tc>
          <w:tcPr>
            <w:tcW w:w="3116" w:type="dxa"/>
          </w:tcPr>
          <w:p w14:paraId="0E70B39D" w14:textId="7AB2D74C" w:rsidR="00D16123" w:rsidRDefault="00D16123" w:rsidP="00A618F0">
            <w:pPr>
              <w:ind w:left="360"/>
            </w:pPr>
            <w:r>
              <w:t>Model Center Save and Load Capability</w:t>
            </w:r>
          </w:p>
        </w:tc>
        <w:tc>
          <w:tcPr>
            <w:tcW w:w="3117" w:type="dxa"/>
          </w:tcPr>
          <w:p w14:paraId="14A75572" w14:textId="17849758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7285ADDC" w14:textId="07C6742E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69539711" w14:textId="77777777" w:rsidTr="00D16123">
        <w:tc>
          <w:tcPr>
            <w:tcW w:w="3116" w:type="dxa"/>
          </w:tcPr>
          <w:p w14:paraId="78E4312B" w14:textId="5B8C0FF7" w:rsidR="00D16123" w:rsidRDefault="00D16123" w:rsidP="00A618F0">
            <w:pPr>
              <w:ind w:left="360"/>
            </w:pPr>
            <w:r>
              <w:t>Model Center Server Mode</w:t>
            </w:r>
          </w:p>
        </w:tc>
        <w:tc>
          <w:tcPr>
            <w:tcW w:w="3117" w:type="dxa"/>
          </w:tcPr>
          <w:p w14:paraId="653F27AB" w14:textId="54AEDA8B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42E1BE70" w14:textId="049BE882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3A6B30F0" w14:textId="77777777" w:rsidTr="00D16123">
        <w:tc>
          <w:tcPr>
            <w:tcW w:w="3116" w:type="dxa"/>
          </w:tcPr>
          <w:p w14:paraId="46D752D9" w14:textId="5BFEE3E0" w:rsidR="00D16123" w:rsidRDefault="00D16123" w:rsidP="00A618F0">
            <w:pPr>
              <w:ind w:left="360"/>
            </w:pPr>
            <w:r>
              <w:t>ODMSS</w:t>
            </w:r>
          </w:p>
        </w:tc>
        <w:tc>
          <w:tcPr>
            <w:tcW w:w="3117" w:type="dxa"/>
          </w:tcPr>
          <w:p w14:paraId="4D922958" w14:textId="5302DC96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7B48FEFD" w14:textId="3609CD0A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</w:tr>
      <w:tr w:rsidR="00D16123" w14:paraId="0BD422D7" w14:textId="77777777" w:rsidTr="00D16123">
        <w:tc>
          <w:tcPr>
            <w:tcW w:w="3116" w:type="dxa"/>
          </w:tcPr>
          <w:p w14:paraId="3D4138EF" w14:textId="24490CA1" w:rsidR="00D16123" w:rsidRDefault="00D16123" w:rsidP="00A618F0">
            <w:pPr>
              <w:ind w:left="360"/>
            </w:pPr>
            <w:r>
              <w:t>Radar</w:t>
            </w:r>
          </w:p>
        </w:tc>
        <w:tc>
          <w:tcPr>
            <w:tcW w:w="3117" w:type="dxa"/>
          </w:tcPr>
          <w:p w14:paraId="0A320930" w14:textId="2FD55B62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3C971A2E" w14:textId="477F6257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7B3EB85B" w14:textId="77777777" w:rsidTr="00D16123">
        <w:tc>
          <w:tcPr>
            <w:tcW w:w="3116" w:type="dxa"/>
          </w:tcPr>
          <w:p w14:paraId="64495A8F" w14:textId="50BE6A03" w:rsidR="00D16123" w:rsidRDefault="00D16123" w:rsidP="00A618F0">
            <w:pPr>
              <w:ind w:left="360"/>
            </w:pPr>
            <w:r>
              <w:t>Scheduler</w:t>
            </w:r>
          </w:p>
        </w:tc>
        <w:tc>
          <w:tcPr>
            <w:tcW w:w="3117" w:type="dxa"/>
          </w:tcPr>
          <w:p w14:paraId="6D241296" w14:textId="271F7FDE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1BEA0140" w14:textId="2A97AC81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77B1D777" w14:textId="77777777" w:rsidTr="00D16123">
        <w:tc>
          <w:tcPr>
            <w:tcW w:w="3116" w:type="dxa"/>
          </w:tcPr>
          <w:p w14:paraId="30337F88" w14:textId="7697C312" w:rsidR="00D16123" w:rsidRPr="00A618F0" w:rsidRDefault="00D16123" w:rsidP="00A618F0">
            <w:pPr>
              <w:ind w:left="360"/>
              <w:rPr>
                <w:b/>
                <w:highlight w:val="yellow"/>
              </w:rPr>
            </w:pPr>
            <w:r w:rsidRPr="00A618F0">
              <w:rPr>
                <w:b/>
                <w:highlight w:val="yellow"/>
              </w:rPr>
              <w:t>Space Environment and Effects Tool</w:t>
            </w:r>
          </w:p>
        </w:tc>
        <w:tc>
          <w:tcPr>
            <w:tcW w:w="3117" w:type="dxa"/>
          </w:tcPr>
          <w:p w14:paraId="42B063A4" w14:textId="7E792323" w:rsidR="00D16123" w:rsidRPr="00A618F0" w:rsidRDefault="00A618F0" w:rsidP="00D16123">
            <w:pPr>
              <w:pStyle w:val="ListParagraph"/>
              <w:ind w:left="0"/>
              <w:rPr>
                <w:b/>
              </w:rPr>
            </w:pPr>
            <w:r>
              <w:t>n/a</w:t>
            </w:r>
          </w:p>
        </w:tc>
        <w:tc>
          <w:tcPr>
            <w:tcW w:w="3117" w:type="dxa"/>
          </w:tcPr>
          <w:p w14:paraId="03EB5F40" w14:textId="7173346F" w:rsidR="00D16123" w:rsidRPr="00A618F0" w:rsidRDefault="00A618F0" w:rsidP="00D16123">
            <w:pPr>
              <w:pStyle w:val="ListParagraph"/>
              <w:ind w:left="0"/>
              <w:rPr>
                <w:b/>
                <w:color w:val="00B050"/>
              </w:rPr>
            </w:pPr>
            <w:r w:rsidRPr="00A618F0">
              <w:rPr>
                <w:b/>
                <w:color w:val="00B050"/>
              </w:rPr>
              <w:t>Good</w:t>
            </w:r>
          </w:p>
        </w:tc>
      </w:tr>
      <w:tr w:rsidR="00D16123" w14:paraId="44335764" w14:textId="77777777" w:rsidTr="00D16123">
        <w:tc>
          <w:tcPr>
            <w:tcW w:w="3116" w:type="dxa"/>
          </w:tcPr>
          <w:p w14:paraId="7CA3D96D" w14:textId="69C12BD5" w:rsidR="00D16123" w:rsidRPr="00A618F0" w:rsidRDefault="00D16123" w:rsidP="00A618F0">
            <w:pPr>
              <w:ind w:left="360"/>
              <w:rPr>
                <w:b/>
                <w:highlight w:val="yellow"/>
              </w:rPr>
            </w:pPr>
            <w:r w:rsidRPr="00A618F0">
              <w:rPr>
                <w:b/>
                <w:highlight w:val="yellow"/>
              </w:rPr>
              <w:t>STK</w:t>
            </w:r>
          </w:p>
        </w:tc>
        <w:tc>
          <w:tcPr>
            <w:tcW w:w="3117" w:type="dxa"/>
          </w:tcPr>
          <w:p w14:paraId="34D92BB3" w14:textId="429DC233" w:rsidR="00D16123" w:rsidRPr="00A618F0" w:rsidRDefault="00A618F0" w:rsidP="00D16123">
            <w:pPr>
              <w:pStyle w:val="ListParagraph"/>
              <w:ind w:left="0"/>
              <w:rPr>
                <w:b/>
              </w:rPr>
            </w:pPr>
            <w:r w:rsidRPr="00A618F0">
              <w:rPr>
                <w:b/>
                <w:color w:val="00B050"/>
              </w:rPr>
              <w:t>Good</w:t>
            </w:r>
          </w:p>
        </w:tc>
        <w:tc>
          <w:tcPr>
            <w:tcW w:w="3117" w:type="dxa"/>
          </w:tcPr>
          <w:p w14:paraId="0A6E4AAC" w14:textId="761F402E" w:rsidR="00D16123" w:rsidRPr="00A618F0" w:rsidRDefault="00A618F0" w:rsidP="00D16123">
            <w:pPr>
              <w:pStyle w:val="ListParagraph"/>
              <w:ind w:left="0"/>
              <w:rPr>
                <w:b/>
                <w:color w:val="00B050"/>
              </w:rPr>
            </w:pPr>
            <w:r w:rsidRPr="00A618F0">
              <w:rPr>
                <w:b/>
                <w:color w:val="00B050"/>
              </w:rPr>
              <w:t>Good</w:t>
            </w:r>
          </w:p>
        </w:tc>
      </w:tr>
      <w:tr w:rsidR="00D16123" w14:paraId="6DAF16A3" w14:textId="77777777" w:rsidTr="00D16123">
        <w:tc>
          <w:tcPr>
            <w:tcW w:w="3116" w:type="dxa"/>
          </w:tcPr>
          <w:p w14:paraId="00AC65EF" w14:textId="316B8CEB" w:rsidR="00D16123" w:rsidRDefault="00D16123" w:rsidP="00A618F0">
            <w:pPr>
              <w:ind w:left="360"/>
            </w:pPr>
            <w:r>
              <w:t>STK Integration</w:t>
            </w:r>
          </w:p>
        </w:tc>
        <w:tc>
          <w:tcPr>
            <w:tcW w:w="3117" w:type="dxa"/>
          </w:tcPr>
          <w:p w14:paraId="70CF23B0" w14:textId="392FE735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55991B09" w14:textId="3983430A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1FB7AE89" w14:textId="77777777" w:rsidTr="00D16123">
        <w:tc>
          <w:tcPr>
            <w:tcW w:w="3116" w:type="dxa"/>
          </w:tcPr>
          <w:p w14:paraId="71045A68" w14:textId="4442F4C8" w:rsidR="00D16123" w:rsidRDefault="00D16123" w:rsidP="00A618F0">
            <w:pPr>
              <w:ind w:left="360"/>
            </w:pPr>
            <w:r>
              <w:t>STK Pro Edition</w:t>
            </w:r>
          </w:p>
        </w:tc>
        <w:tc>
          <w:tcPr>
            <w:tcW w:w="3117" w:type="dxa"/>
          </w:tcPr>
          <w:p w14:paraId="4F0D36E6" w14:textId="7DC5BD6F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48FFFDC8" w14:textId="0B4D1D15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0E72EF8C" w14:textId="77777777" w:rsidTr="00D16123">
        <w:tc>
          <w:tcPr>
            <w:tcW w:w="3116" w:type="dxa"/>
          </w:tcPr>
          <w:p w14:paraId="64AF7F2E" w14:textId="5FDFE660" w:rsidR="00D16123" w:rsidRPr="00A618F0" w:rsidRDefault="00D16123" w:rsidP="00A618F0">
            <w:pPr>
              <w:ind w:left="360"/>
              <w:rPr>
                <w:b/>
              </w:rPr>
            </w:pPr>
            <w:r w:rsidRPr="00A618F0">
              <w:rPr>
                <w:b/>
                <w:highlight w:val="yellow"/>
              </w:rPr>
              <w:t xml:space="preserve">STK </w:t>
            </w:r>
            <w:proofErr w:type="spellStart"/>
            <w:r w:rsidRPr="00A618F0">
              <w:rPr>
                <w:b/>
                <w:highlight w:val="yellow"/>
              </w:rPr>
              <w:t>SatPro</w:t>
            </w:r>
            <w:proofErr w:type="spellEnd"/>
          </w:p>
        </w:tc>
        <w:tc>
          <w:tcPr>
            <w:tcW w:w="3117" w:type="dxa"/>
          </w:tcPr>
          <w:p w14:paraId="3BAEF781" w14:textId="26013BB8" w:rsidR="00D16123" w:rsidRPr="00A618F0" w:rsidRDefault="00A618F0" w:rsidP="00D16123">
            <w:pPr>
              <w:pStyle w:val="ListParagraph"/>
              <w:ind w:left="0"/>
              <w:rPr>
                <w:b/>
              </w:rPr>
            </w:pPr>
            <w:r>
              <w:t>n/a</w:t>
            </w:r>
          </w:p>
        </w:tc>
        <w:tc>
          <w:tcPr>
            <w:tcW w:w="3117" w:type="dxa"/>
          </w:tcPr>
          <w:p w14:paraId="4259EA01" w14:textId="681E791F" w:rsidR="00D16123" w:rsidRPr="00A618F0" w:rsidRDefault="00A618F0" w:rsidP="00D16123">
            <w:pPr>
              <w:pStyle w:val="ListParagraph"/>
              <w:ind w:left="0"/>
              <w:rPr>
                <w:b/>
                <w:color w:val="00B050"/>
              </w:rPr>
            </w:pPr>
            <w:r w:rsidRPr="00A618F0">
              <w:rPr>
                <w:b/>
                <w:color w:val="00B050"/>
              </w:rPr>
              <w:t>Good</w:t>
            </w:r>
          </w:p>
        </w:tc>
      </w:tr>
      <w:tr w:rsidR="00D16123" w14:paraId="002A8C5A" w14:textId="77777777" w:rsidTr="00D16123">
        <w:tc>
          <w:tcPr>
            <w:tcW w:w="3116" w:type="dxa"/>
          </w:tcPr>
          <w:p w14:paraId="6A5C96C3" w14:textId="3131CABE" w:rsidR="00D16123" w:rsidRDefault="00D16123" w:rsidP="00A618F0">
            <w:pPr>
              <w:ind w:left="360"/>
            </w:pPr>
            <w:r>
              <w:t>Urban Propagation Extension for STK/Communications</w:t>
            </w:r>
          </w:p>
        </w:tc>
        <w:tc>
          <w:tcPr>
            <w:tcW w:w="3117" w:type="dxa"/>
          </w:tcPr>
          <w:p w14:paraId="7D10ACEC" w14:textId="185CC701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03C6E422" w14:textId="5806AE27" w:rsidR="00D16123" w:rsidRPr="00A618F0" w:rsidRDefault="00A618F0" w:rsidP="00D16123">
            <w:pPr>
              <w:pStyle w:val="ListParagraph"/>
              <w:ind w:left="0"/>
              <w:rPr>
                <w:color w:val="00B050"/>
              </w:rPr>
            </w:pPr>
            <w:r w:rsidRPr="00A618F0">
              <w:rPr>
                <w:color w:val="00B050"/>
              </w:rPr>
              <w:t>Good</w:t>
            </w:r>
          </w:p>
        </w:tc>
      </w:tr>
      <w:tr w:rsidR="00D16123" w14:paraId="74BF21E0" w14:textId="77777777" w:rsidTr="00D16123">
        <w:tc>
          <w:tcPr>
            <w:tcW w:w="3116" w:type="dxa"/>
          </w:tcPr>
          <w:p w14:paraId="7B56FB4F" w14:textId="17D88152" w:rsidR="00D16123" w:rsidRDefault="00A618F0" w:rsidP="00A618F0">
            <w:pPr>
              <w:ind w:left="360"/>
            </w:pPr>
            <w:r>
              <w:t>Viz2DBar,</w:t>
            </w:r>
            <w:r>
              <w:t xml:space="preserve"> </w:t>
            </w:r>
            <w:r>
              <w:t>Viz2DLine</w:t>
            </w:r>
            <w:r>
              <w:t xml:space="preserve">, </w:t>
            </w:r>
            <w:r>
              <w:t>Viz2DScatter</w:t>
            </w:r>
            <w:r>
              <w:t xml:space="preserve">, </w:t>
            </w:r>
            <w:r>
              <w:t>Viz3DScatter</w:t>
            </w:r>
            <w:r>
              <w:t xml:space="preserve">, </w:t>
            </w:r>
            <w:proofErr w:type="spellStart"/>
            <w:r>
              <w:t>VizCarpet</w:t>
            </w:r>
            <w:proofErr w:type="spellEnd"/>
            <w:r>
              <w:t xml:space="preserve">, </w:t>
            </w:r>
            <w:proofErr w:type="spellStart"/>
            <w:r>
              <w:t>VizContour</w:t>
            </w:r>
            <w:proofErr w:type="spellEnd"/>
            <w:r>
              <w:t xml:space="preserve">, </w:t>
            </w:r>
            <w:proofErr w:type="spellStart"/>
            <w:r>
              <w:t>VizParallelCoordinates</w:t>
            </w:r>
            <w:proofErr w:type="spellEnd"/>
            <w:r>
              <w:t>,</w:t>
            </w:r>
            <w:r>
              <w:t xml:space="preserve"> </w:t>
            </w:r>
            <w:r>
              <w:t>VizScatterMatrix</w:t>
            </w:r>
          </w:p>
        </w:tc>
        <w:tc>
          <w:tcPr>
            <w:tcW w:w="3117" w:type="dxa"/>
          </w:tcPr>
          <w:p w14:paraId="52F402C1" w14:textId="3A4B3DF1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3117" w:type="dxa"/>
          </w:tcPr>
          <w:p w14:paraId="761A947B" w14:textId="58F42E0C" w:rsidR="00D16123" w:rsidRDefault="00A618F0" w:rsidP="00D16123">
            <w:pPr>
              <w:pStyle w:val="ListParagraph"/>
              <w:ind w:left="0"/>
            </w:pPr>
            <w:r>
              <w:t>n/a</w:t>
            </w:r>
          </w:p>
        </w:tc>
      </w:tr>
    </w:tbl>
    <w:p w14:paraId="359A407A" w14:textId="77777777" w:rsidR="00D16123" w:rsidRDefault="00D16123" w:rsidP="00D16123">
      <w:pPr>
        <w:pStyle w:val="ListParagraph"/>
        <w:ind w:left="1440"/>
      </w:pPr>
    </w:p>
    <w:p w14:paraId="0A25171B" w14:textId="3C12D219" w:rsidR="00D16123" w:rsidRDefault="00D16123" w:rsidP="00D16123">
      <w:pPr>
        <w:pStyle w:val="ListParagraph"/>
      </w:pPr>
      <w:r>
        <w:rPr>
          <w:noProof/>
        </w:rPr>
        <w:lastRenderedPageBreak/>
        <w:drawing>
          <wp:inline distT="0" distB="0" distL="0" distR="0" wp14:anchorId="7C1FA43D" wp14:editId="09EEC392">
            <wp:extent cx="5943600" cy="51885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7213" w14:textId="0CA40E75" w:rsidR="00D16123" w:rsidRPr="00A618F0" w:rsidRDefault="00D16123" w:rsidP="00A618F0">
      <w:pPr>
        <w:pStyle w:val="ListParagraph"/>
        <w:jc w:val="center"/>
        <w:rPr>
          <w:i/>
        </w:rPr>
      </w:pPr>
      <w:r>
        <w:rPr>
          <w:i/>
        </w:rPr>
        <w:t>Image is validating an Academic License</w:t>
      </w:r>
    </w:p>
    <w:p w14:paraId="0590F6C7" w14:textId="2524B242" w:rsidR="000D53EC" w:rsidRDefault="00AD1E76" w:rsidP="000D53EC">
      <w:pPr>
        <w:rPr>
          <w:b/>
        </w:rPr>
      </w:pPr>
      <w:r>
        <w:rPr>
          <w:b/>
        </w:rPr>
        <w:t>Creating a Scenario in STK</w:t>
      </w:r>
    </w:p>
    <w:p w14:paraId="0BD7602D" w14:textId="6E98F28E" w:rsidR="000D53EC" w:rsidRDefault="000D53EC" w:rsidP="000D53EC">
      <w:pPr>
        <w:pStyle w:val="ListParagraph"/>
        <w:numPr>
          <w:ilvl w:val="0"/>
          <w:numId w:val="5"/>
        </w:numPr>
      </w:pPr>
      <w:r>
        <w:t>Open STK</w:t>
      </w:r>
    </w:p>
    <w:p w14:paraId="7C9E2605" w14:textId="375AA10E" w:rsidR="00CF5B0B" w:rsidRDefault="00CF5B0B" w:rsidP="000D53EC">
      <w:pPr>
        <w:pStyle w:val="ListParagraph"/>
        <w:numPr>
          <w:ilvl w:val="0"/>
          <w:numId w:val="5"/>
        </w:numPr>
      </w:pPr>
      <w:r>
        <w:t>Select “Create Scenario”</w:t>
      </w:r>
    </w:p>
    <w:p w14:paraId="2AE170C0" w14:textId="7F44FD1C" w:rsidR="00CF5B0B" w:rsidRDefault="00CF5B0B" w:rsidP="00CF5B0B">
      <w:pPr>
        <w:pStyle w:val="ListParagraph"/>
      </w:pPr>
      <w:r>
        <w:rPr>
          <w:noProof/>
        </w:rPr>
        <w:lastRenderedPageBreak/>
        <w:drawing>
          <wp:inline distT="0" distB="0" distL="0" distR="0" wp14:anchorId="4B724B3F" wp14:editId="510C522C">
            <wp:extent cx="5943600" cy="317195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AC69" w14:textId="7927FDFE" w:rsidR="00CF5B0B" w:rsidRDefault="00E80E9A" w:rsidP="000D53EC">
      <w:pPr>
        <w:pStyle w:val="ListParagraph"/>
        <w:numPr>
          <w:ilvl w:val="0"/>
          <w:numId w:val="5"/>
        </w:numPr>
      </w:pPr>
      <w:r>
        <w:t xml:space="preserve">Name the scenario something distinct. It will be saved as a folder with that name in your determined scenarios path. By default, STK stores scenario folders in </w:t>
      </w:r>
      <w:r>
        <w:t>the “</w:t>
      </w:r>
      <w:r w:rsidRPr="00CF5B0B">
        <w:t>C:\Users\</w:t>
      </w:r>
      <w:r>
        <w:t>USER</w:t>
      </w:r>
      <w:r w:rsidRPr="00CF5B0B">
        <w:t>\Documents\STK 11 (x64)</w:t>
      </w:r>
      <w:r>
        <w:t>” path</w:t>
      </w:r>
      <w:r>
        <w:t>.</w:t>
      </w:r>
    </w:p>
    <w:p w14:paraId="36B6C143" w14:textId="3ADC10F1" w:rsidR="00E80E9A" w:rsidRDefault="00E80E9A" w:rsidP="000D53EC">
      <w:pPr>
        <w:pStyle w:val="ListParagraph"/>
        <w:numPr>
          <w:ilvl w:val="0"/>
          <w:numId w:val="5"/>
        </w:numPr>
      </w:pPr>
      <w:r>
        <w:t xml:space="preserve">Select the time range for the satellite by clicking the </w:t>
      </w:r>
      <w:r>
        <w:rPr>
          <w:noProof/>
        </w:rPr>
        <w:drawing>
          <wp:inline distT="0" distB="0" distL="0" distR="0" wp14:anchorId="6450B0A0" wp14:editId="0694D760">
            <wp:extent cx="2190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next to the “Start” and “Stop” text box.</w:t>
      </w:r>
    </w:p>
    <w:p w14:paraId="58AA12E0" w14:textId="18874667" w:rsidR="00E80E9A" w:rsidRDefault="00E80E9A" w:rsidP="00E80E9A">
      <w:pPr>
        <w:pStyle w:val="ListParagraph"/>
      </w:pPr>
      <w:r>
        <w:rPr>
          <w:noProof/>
        </w:rPr>
        <w:drawing>
          <wp:inline distT="0" distB="0" distL="0" distR="0" wp14:anchorId="7A792230" wp14:editId="238160A6">
            <wp:extent cx="5943600" cy="334414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6235" w14:textId="3FFC5AC1" w:rsidR="00E80E9A" w:rsidRPr="000D53EC" w:rsidRDefault="00E80E9A" w:rsidP="000D53EC">
      <w:pPr>
        <w:pStyle w:val="ListParagraph"/>
        <w:numPr>
          <w:ilvl w:val="0"/>
          <w:numId w:val="5"/>
        </w:numPr>
      </w:pPr>
      <w:r>
        <w:t>f</w:t>
      </w:r>
      <w:bookmarkStart w:id="0" w:name="_GoBack"/>
      <w:bookmarkEnd w:id="0"/>
    </w:p>
    <w:p w14:paraId="28C39BEA" w14:textId="2D5ADAE5" w:rsidR="00AD1E76" w:rsidRDefault="00AD1E76" w:rsidP="00AD1E76">
      <w:pPr>
        <w:rPr>
          <w:b/>
        </w:rPr>
      </w:pPr>
      <w:r>
        <w:rPr>
          <w:b/>
        </w:rPr>
        <w:t>Loading a Scenario in STK</w:t>
      </w:r>
    </w:p>
    <w:p w14:paraId="1968E5F9" w14:textId="3162EE07" w:rsidR="00CF5B0B" w:rsidRDefault="00CF5B0B" w:rsidP="00CF5B0B">
      <w:r>
        <w:lastRenderedPageBreak/>
        <w:t>Note: STK stores scenarios in the “</w:t>
      </w:r>
      <w:r w:rsidRPr="00CF5B0B">
        <w:t>C:\Users\</w:t>
      </w:r>
      <w:r>
        <w:t>USER</w:t>
      </w:r>
      <w:r w:rsidRPr="00CF5B0B">
        <w:t>\Documents\STK 11 (x64)</w:t>
      </w:r>
      <w:r>
        <w:t>” path by default.</w:t>
      </w:r>
    </w:p>
    <w:p w14:paraId="36974B7A" w14:textId="546F1060" w:rsidR="000D53EC" w:rsidRDefault="000D53EC" w:rsidP="00E80E9A">
      <w:pPr>
        <w:pStyle w:val="ListParagraph"/>
        <w:numPr>
          <w:ilvl w:val="0"/>
          <w:numId w:val="6"/>
        </w:numPr>
      </w:pPr>
      <w:r>
        <w:t>Open STK</w:t>
      </w:r>
      <w:r w:rsidR="00E80E9A">
        <w:t xml:space="preserve"> and s</w:t>
      </w:r>
      <w:r w:rsidR="00CF5B0B">
        <w:t>elect “Open Scenario”</w:t>
      </w:r>
    </w:p>
    <w:p w14:paraId="158ECDAB" w14:textId="589E278C" w:rsidR="00CF5B0B" w:rsidRDefault="00CF5B0B" w:rsidP="00CF5B0B">
      <w:pPr>
        <w:pStyle w:val="ListParagraph"/>
      </w:pPr>
      <w:r>
        <w:rPr>
          <w:noProof/>
        </w:rPr>
        <w:drawing>
          <wp:inline distT="0" distB="0" distL="0" distR="0" wp14:anchorId="788620AB" wp14:editId="30455349">
            <wp:extent cx="5943600" cy="317195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5FF7" w14:textId="7AE4563B" w:rsidR="00CF5B0B" w:rsidRDefault="00CF5B0B" w:rsidP="000D53EC">
      <w:pPr>
        <w:pStyle w:val="ListParagraph"/>
        <w:numPr>
          <w:ilvl w:val="0"/>
          <w:numId w:val="6"/>
        </w:numPr>
      </w:pPr>
      <w:r>
        <w:t>Select a</w:t>
      </w:r>
      <w:r w:rsidR="00E80E9A">
        <w:t xml:space="preserve"> s</w:t>
      </w:r>
      <w:r>
        <w:t>cenario folder to open</w:t>
      </w:r>
    </w:p>
    <w:p w14:paraId="7BCBADB3" w14:textId="65BE9D3C" w:rsidR="00CF5B0B" w:rsidRDefault="00CF5B0B" w:rsidP="00CF5B0B">
      <w:pPr>
        <w:pStyle w:val="ListParagraph"/>
      </w:pPr>
      <w:r>
        <w:rPr>
          <w:noProof/>
        </w:rPr>
        <w:lastRenderedPageBreak/>
        <w:drawing>
          <wp:inline distT="0" distB="0" distL="0" distR="0" wp14:anchorId="54A3076A" wp14:editId="1C541422">
            <wp:extent cx="5943600" cy="485732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39B" w14:textId="3857DA84" w:rsidR="00CF5B0B" w:rsidRDefault="00CF5B0B" w:rsidP="000D53EC">
      <w:pPr>
        <w:pStyle w:val="ListParagraph"/>
        <w:numPr>
          <w:ilvl w:val="0"/>
          <w:numId w:val="6"/>
        </w:numPr>
      </w:pPr>
      <w:r>
        <w:t>Select the .</w:t>
      </w:r>
      <w:proofErr w:type="spellStart"/>
      <w:r>
        <w:t>sc</w:t>
      </w:r>
      <w:proofErr w:type="spellEnd"/>
      <w:r>
        <w:t xml:space="preserve"> file to open within that scenario</w:t>
      </w:r>
    </w:p>
    <w:p w14:paraId="73992098" w14:textId="5FB20F5E" w:rsidR="00CF5B0B" w:rsidRDefault="00CF5B0B" w:rsidP="00CF5B0B">
      <w:pPr>
        <w:pStyle w:val="ListParagraph"/>
      </w:pPr>
      <w:r>
        <w:rPr>
          <w:noProof/>
        </w:rPr>
        <w:lastRenderedPageBreak/>
        <w:drawing>
          <wp:inline distT="0" distB="0" distL="0" distR="0" wp14:anchorId="4D047007" wp14:editId="54CB3B7A">
            <wp:extent cx="5943600" cy="4855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3CF" w14:textId="43D40B24" w:rsidR="00CF5B0B" w:rsidRPr="000D53EC" w:rsidRDefault="00CF5B0B" w:rsidP="00E80E9A">
      <w:pPr>
        <w:pStyle w:val="ListParagraph"/>
        <w:numPr>
          <w:ilvl w:val="0"/>
          <w:numId w:val="6"/>
        </w:numPr>
      </w:pPr>
    </w:p>
    <w:sectPr w:rsidR="00CF5B0B" w:rsidRPr="000D53E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442CF" w14:textId="77777777" w:rsidR="00177FCB" w:rsidRDefault="00177FCB" w:rsidP="001444EB">
      <w:pPr>
        <w:spacing w:after="0" w:line="240" w:lineRule="auto"/>
      </w:pPr>
      <w:r>
        <w:separator/>
      </w:r>
    </w:p>
  </w:endnote>
  <w:endnote w:type="continuationSeparator" w:id="0">
    <w:p w14:paraId="0198C1BA" w14:textId="77777777" w:rsidR="00177FCB" w:rsidRDefault="00177FCB" w:rsidP="0014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66DD" w14:textId="77777777" w:rsidR="00177FCB" w:rsidRDefault="00177FCB" w:rsidP="001444EB">
      <w:pPr>
        <w:spacing w:after="0" w:line="240" w:lineRule="auto"/>
      </w:pPr>
      <w:r>
        <w:separator/>
      </w:r>
    </w:p>
  </w:footnote>
  <w:footnote w:type="continuationSeparator" w:id="0">
    <w:p w14:paraId="2869B7B7" w14:textId="77777777" w:rsidR="00177FCB" w:rsidRDefault="00177FCB" w:rsidP="0014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AE29E" w14:textId="72F36369" w:rsidR="001444EB" w:rsidRDefault="001444EB" w:rsidP="001444EB">
    <w:pPr>
      <w:pStyle w:val="Header"/>
      <w:jc w:val="right"/>
    </w:pPr>
    <w:bookmarkStart w:id="1" w:name="_Hlk508618540"/>
    <w:bookmarkStart w:id="2" w:name="_Hlk508618541"/>
    <w:r>
      <w:t xml:space="preserve">Last Updated: </w:t>
    </w:r>
    <w:r w:rsidR="00324F9C">
      <w:t>3</w:t>
    </w:r>
    <w:r>
      <w:t>/</w:t>
    </w:r>
    <w:r w:rsidR="00324F9C">
      <w:t>12</w:t>
    </w:r>
    <w:r>
      <w:t>/18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B02FB"/>
    <w:multiLevelType w:val="hybridMultilevel"/>
    <w:tmpl w:val="1A0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985"/>
    <w:multiLevelType w:val="hybridMultilevel"/>
    <w:tmpl w:val="DC2C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425C3"/>
    <w:multiLevelType w:val="hybridMultilevel"/>
    <w:tmpl w:val="C3C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6D5E"/>
    <w:multiLevelType w:val="hybridMultilevel"/>
    <w:tmpl w:val="07C6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A1303"/>
    <w:multiLevelType w:val="hybridMultilevel"/>
    <w:tmpl w:val="2D2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548F7"/>
    <w:multiLevelType w:val="hybridMultilevel"/>
    <w:tmpl w:val="4AAE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55"/>
    <w:rsid w:val="00013C8C"/>
    <w:rsid w:val="000D53EC"/>
    <w:rsid w:val="001444EB"/>
    <w:rsid w:val="00150513"/>
    <w:rsid w:val="00177FCB"/>
    <w:rsid w:val="002A47F8"/>
    <w:rsid w:val="00324F9C"/>
    <w:rsid w:val="003C156A"/>
    <w:rsid w:val="00446B88"/>
    <w:rsid w:val="00665E62"/>
    <w:rsid w:val="006B7191"/>
    <w:rsid w:val="006B7EE9"/>
    <w:rsid w:val="006C12A9"/>
    <w:rsid w:val="00752476"/>
    <w:rsid w:val="00813FE2"/>
    <w:rsid w:val="008551E8"/>
    <w:rsid w:val="0090052D"/>
    <w:rsid w:val="00A618F0"/>
    <w:rsid w:val="00A81855"/>
    <w:rsid w:val="00AD1E76"/>
    <w:rsid w:val="00B45041"/>
    <w:rsid w:val="00C77168"/>
    <w:rsid w:val="00CF5B0B"/>
    <w:rsid w:val="00D16123"/>
    <w:rsid w:val="00E80E9A"/>
    <w:rsid w:val="00F3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8F52"/>
  <w15:chartTrackingRefBased/>
  <w15:docId w15:val="{C5D86568-C26C-4422-8BA6-87A86FC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6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4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EB"/>
  </w:style>
  <w:style w:type="paragraph" w:styleId="Footer">
    <w:name w:val="footer"/>
    <w:basedOn w:val="Normal"/>
    <w:link w:val="FooterChar"/>
    <w:uiPriority w:val="99"/>
    <w:unhideWhenUsed/>
    <w:rsid w:val="0014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EB"/>
  </w:style>
  <w:style w:type="table" w:styleId="TableGrid">
    <w:name w:val="Table Grid"/>
    <w:basedOn w:val="TableNormal"/>
    <w:uiPriority w:val="39"/>
    <w:rsid w:val="00D1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icensing.agi.com/stk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24</cp:revision>
  <dcterms:created xsi:type="dcterms:W3CDTF">2018-02-13T19:50:00Z</dcterms:created>
  <dcterms:modified xsi:type="dcterms:W3CDTF">2018-03-12T20:16:00Z</dcterms:modified>
</cp:coreProperties>
</file>