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GAS MARL 模型拆解与研究方向报告</w:t>
      </w:r>
    </w:p>
    <w:p>
      <w:r>
        <w:rPr>
          <w:b/>
        </w:rPr>
        <w:t>文献</w:t>
      </w:r>
      <w:r>
        <w:t xml:space="preserve">  Rui Chen 等  Future Generation Computer Systems 167 107760 2025</w:t>
      </w:r>
    </w:p>
    <w:p>
      <w:r>
        <w:rPr>
          <w:b/>
        </w:rPr>
        <w:t>领域</w:t>
      </w:r>
      <w:r>
        <w:t xml:space="preserve">  高性能计算作业调度  多动作深度强化学习  可再生能源利用</w:t>
      </w:r>
    </w:p>
    <w:p>
      <w:r>
        <w:t>本研究建议先复现作者的双目标调度基线，再优先评估可再生能源预测误差对调度的影响。源码具备模型、仿真和数据主体，可以采用 Python 与 PyTorch 工作流；CUDA短跑链条已通过，尚未完整复现论文数值，工程测试不能替代研究结论。</w:t>
      </w:r>
    </w:p>
    <w:p>
      <w:pPr>
        <w:pStyle w:val="Heading1"/>
      </w:pPr>
      <w:r>
        <w:t>1 模型讲解</w:t>
      </w:r>
    </w:p>
    <w:p>
      <w:r>
        <w:t>把集群想成一间有固定数量座位的计算机房。作业陆续到达，说明需要多少处理器、预计运行多久及功率。太阳能与风能会随小时变化，排得早不一定更绿色，等得久又会损害用户体验。GAS-MARL 每次先选择一个作业，再决定立即尝试、等待若干运行作业完成，或延迟固定时长。这里 MARL 指 Multi-Action，并非多智能体。</w:t>
      </w:r>
    </w:p>
    <w:p>
      <w:r>
        <w:t>Green-Backfilling 在选中作业等待时，让合适的小作业填补空闲资源。它优先考虑请求时间、处理器数和功率乘积较小的作业，并限制新增棕色能源消耗，从而尽量减少资源闲置和额外排放。</w:t>
      </w:r>
    </w:p>
    <w:p>
      <w:pPr>
        <w:pStyle w:val="Heading2"/>
      </w:pPr>
      <w:r>
        <w:t>核心假设与输入</w:t>
      </w:r>
    </w:p>
    <w:p>
      <w:r>
        <w:t>集群同构，处理器为最小资源单位；每台机器有8个处理器、50 W静态功耗，运行作业带来附加功耗。作业不可抢占，功率在运行期间恒定；棕色供给充足，绿色优先。模型可获得未来24个一小时槽的能源预测，超过预测窗口时重复对应槽。</w:t>
      </w:r>
    </w:p>
    <w:p>
      <w:r>
        <w:t>输入包括三种作业轨迹 Lublin-256、Cirne、Jann，作业提交时间、请求资源、请求时间和真实运行时间，以及每处理器功率、风速和辐照数据。状态使用256个等待作业、64个运行作业和24个绿色供给槽；训练默认300轮，每轮100条、每条256个作业。</w:t>
      </w:r>
    </w:p>
    <w:p>
      <w:pPr>
        <w:pStyle w:val="Heading2"/>
      </w:pPr>
      <w:r>
        <w:t>目标与关键公式</w:t>
      </w:r>
    </w:p>
    <w:p>
      <w:pPr>
        <w:spacing w:after="100"/>
      </w:pPr>
      <m:oMath>
        <m:r>
          <m:t>P_C(s) = P_idle + Σⱼ∈R(s) pow_j</m:t>
        </m:r>
      </m:oMath>
      <w:r>
        <w:rPr>
          <w:sz w:val="18"/>
        </w:rPr>
        <w:t xml:space="preserve">    原文式1</w:t>
      </w:r>
    </w:p>
    <w:p>
      <w:pPr>
        <w:spacing w:after="100"/>
      </w:pPr>
      <m:oMath>
        <m:r>
          <m:t>ReUtil = ∫ min(P_GT(s), P_C(s)) ds / ∫ P_C(s) ds</m:t>
        </m:r>
      </m:oMath>
      <w:r>
        <w:rPr>
          <w:sz w:val="18"/>
        </w:rPr>
        <w:t xml:space="preserve">    原文式2至4</w:t>
      </w:r>
    </w:p>
    <w:p>
      <w:pPr>
        <w:spacing w:after="100"/>
      </w:pPr>
      <m:oMath>
        <m:r>
          <m:t>AvgBSLD = (1/N) Σᵢ max((wᵢ + eᵢ) / max(10, eᵢ), 1)</m:t>
        </m:r>
      </m:oMath>
      <w:r>
        <w:rPr>
          <w:sz w:val="18"/>
        </w:rPr>
        <w:t xml:space="preserve">    原文式5</w:t>
      </w:r>
    </w:p>
    <w:p>
      <w:pPr>
        <w:spacing w:after="100"/>
      </w:pPr>
      <m:oMath>
        <m:r>
          <m:t>r_done = ReUtil − η × AvgBSLD     r_other = 0</m:t>
        </m:r>
      </m:oMath>
      <w:r>
        <w:rPr>
          <w:sz w:val="18"/>
        </w:rPr>
        <w:t xml:space="preserve">    原文式9</w:t>
      </w:r>
    </w:p>
    <w:p>
      <w:r>
        <w:t>P_idle 为全机房静态功率，pow_j 为作业附加功率；P_GT 为绿色供给。w、e 分别为等待和真实运行时间，N 为作业数。ReUtil 越大越好，AvgBSLD 越小越好；η 调节等待代价。输出是作业选择、延迟决策、调度日志及两项指标，不是直接输出最优解证明。</w:t>
      </w:r>
    </w:p>
    <w:p>
      <w:pPr>
        <w:pStyle w:val="Heading1"/>
        <w:pageBreakBefore/>
      </w:pPr>
      <w:r>
        <w:t>2 拆解清单与复现锚点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  <w:shd w:fill="DCE6F1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  <w:shd w:fill="DCE6F1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内容与原文位置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  <w:shd w:fill="DCE6F1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源码位置及待补项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输入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作业与功率数据  第5.1节 式16至18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data/ 与 job.py</w:t>
              <w:br/>
              <w:t>保留原始数据及预处理口径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  <w:shd w:fill="F7F9FB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状态与动作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  <w:shd w:fill="F7F9FB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三类状态 双动作  第4.2节 图2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  <w:shd w:fill="F7F9FB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HPCSimPickJobs.py 与 MARL.py</w:t>
              <w:br/>
              <w:t>核对掩码和维度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学习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PPO 稀疏奖励  式9至14 算法1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MARL.py 与 MaskablePPO.py</w:t>
              <w:br/>
              <w:t>需实际训练及种子复核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  <w:shd w:fill="F7F9FB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回填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  <w:shd w:fill="F7F9FB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优先级与50000 J门槛  式15 算法2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  <w:shd w:fill="F7F9FB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HPCSimPickJobs.py 与 cluster.py</w:t>
              <w:br/>
              <w:t>Type2截止语义单列验证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指标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能源积分与slowdown  式1至5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PowerStruc.py 与 greenPower.py</w:t>
              <w:br/>
              <w:t>使用实际运行时积分与评分</w:t>
            </w:r>
          </w:p>
        </w:tc>
      </w:tr>
      <w:t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  <w:shd w:fill="F7F9FB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输出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  <w:shd w:fill="F7F9FB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均值 训练曲线 策略比较  图3至7 表3至4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  <w:shd w:fill="F7F9FB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compare.py</w:t>
              <w:br/>
              <w:t>需训练权重 逐序列结果与统计汇总</w:t>
            </w:r>
          </w:p>
        </w:tc>
      </w:tr>
    </w:tbl>
    <w:p>
      <w:pPr>
        <w:spacing w:after="80" w:line="40" w:lineRule="exact"/>
      </w:pPr>
      <w:r>
        <w:rPr>
          <w:sz w:val="4"/>
        </w:rPr>
      </w:r>
    </w:p>
    <w:p>
      <w:pPr>
        <w:pStyle w:val="Heading2"/>
      </w:pPr>
      <w:r>
        <w:t>优先核对的原文数值</w:t>
      </w:r>
    </w:p>
    <w:p>
      <w:r>
        <w:t>下表仅摘录论文第10页表3和表4的 Green-Backfilling 条件，作为复现目标，均不是本项目实验结果。每种负载评估10条长度1024的序列，PPO与GAS-MARL应使用对应回填策略训练和评估。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  <w:shd w:fill="DCE6F1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负载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  <w:shd w:fill="DCE6F1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PPO</w:t>
              <w:br/>
              <w:t>AvgBSLD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  <w:shd w:fill="DCE6F1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GAS</w:t>
              <w:br/>
              <w:t>AvgBSLD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  <w:shd w:fill="DCE6F1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PPO</w:t>
              <w:br/>
              <w:t>ReUtil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  <w:shd w:fill="DCE6F1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GAS</w:t>
              <w:br/>
              <w:t>ReUtil</w:t>
            </w:r>
          </w:p>
        </w:tc>
      </w:tr>
      <w:t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Lublin-256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56.358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31.738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0.6767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0.8154</w:t>
            </w:r>
          </w:p>
        </w:tc>
      </w:tr>
      <w:t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  <w:shd w:fill="F7F9FB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Cirne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22.357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17.895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0.5311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  <w:shd w:fill="F7F9FB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0.7545</w:t>
            </w:r>
          </w:p>
        </w:tc>
      </w:tr>
      <w:t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Jann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15.374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12.534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0.5454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  <w:shd w:fill="FFFFFF"/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0.7424</w:t>
            </w:r>
          </w:p>
        </w:tc>
      </w:tr>
    </w:tbl>
    <w:p>
      <w:pPr>
        <w:spacing w:after="80" w:line="40" w:lineRule="exact"/>
      </w:pPr>
      <w:r>
        <w:rPr>
          <w:sz w:val="4"/>
        </w:rPr>
      </w:r>
    </w:p>
    <w:p>
      <w:r>
        <w:t>解释数值时应保留双目标取舍：表3中，EASY条件下 Lublin-256 的GAS-MARL slowdown为63.627，高于PPO的55.262；Green条件下 Jann 的F2为11.332，低于GAS-MARL的12.534。不能把论文理解为所有工况、所有指标均由GAS-MARL最优。</w:t>
      </w:r>
    </w:p>
    <w:p>
      <w:pPr>
        <w:pStyle w:val="Heading2"/>
      </w:pPr>
      <w:r>
        <w:t>作者模式与修正模式</w:t>
      </w:r>
    </w:p>
    <w:p>
      <w:r>
        <w:t>原始导入以 upstream-import 标签追溯，工作副本关联 cout-he/green-rl。author保留作者语义；paper仅为Type2截止遗漏增加事件，两种模式分开训练评估，结果不可混表。</w:t>
      </w:r>
    </w:p>
    <w:p>
      <w:r>
        <w:t>最小测试中，当前100秒、截止3700秒、资源足够、下个完成事件6000秒，作者路径推进至6000秒，修正路径停于3700秒。这是工程与语义验证，不能计为创新。28项测试通过；CUDA短跑采用1轮、2条256作业轨迹训练，再以1条64作业序列评估两种模式，四步均exit 0。记录见 research/smoke_summary.json，仅证明链条可执行，尚未完整复现。</w:t>
      </w:r>
    </w:p>
    <w:p>
      <w:pPr>
        <w:pStyle w:val="Heading1"/>
        <w:pageBreakBefore/>
      </w:pPr>
      <w:r>
        <w:t>3 创新方向候选</w:t>
      </w:r>
    </w:p>
    <w:p>
      <w:r>
        <w:t>以下方向均是可执行的候选问题，尚未通过完整近邻文献核验，不声称新颖性。先限定一个问题和一条证据链，避免同时更换状态、网络和奖励后无法解释提升来源。</w:t>
      </w:r>
    </w:p>
    <w:p>
      <w:pPr>
        <w:pStyle w:val="Heading2"/>
      </w:pPr>
      <w:r>
        <w:t>方向一 预测误差下的稳健调度</w:t>
      </w:r>
    </w:p>
    <w:p>
      <w:r>
        <w:t>手法为加误差工况，必要时再改决策接口。先只扰动策略可见的24小时绿色预测，真实供给与能源积分保持不变，测试有偏误差、随机误差和时间错位；随后考虑在绿色编码器加入不确定性输入，或调整延迟与回填的安全余量。</w:t>
      </w:r>
    </w:p>
    <w:p>
      <w:r>
        <w:t>可检验的问题是：对预测误差敏感的环节在作业选择、主动延迟还是回填接受门槛。与近邻工作的差异应落实为信息可得性、误差模型、约束和评价协议，而不是只更换网络名称。</w:t>
      </w:r>
    </w:p>
    <w:p>
      <w:r>
        <w:t>退化检查：误差幅度设为0，保持相同供给、作业段、训练种子与模式，应回到本项目已验证基线；新增保护参数退回关闭值后应恢复原决策。成本较低至中等，先做冻结策略的压力测试，再决定是否支付重新训练成本。</w:t>
      </w:r>
    </w:p>
    <w:p>
      <w:pPr>
        <w:pStyle w:val="Heading2"/>
      </w:pPr>
      <w:r>
        <w:t>方向二 等待尾部与服务约束</w:t>
      </w:r>
    </w:p>
    <w:p>
      <w:r>
        <w:t>手法为加服务指标并改奖励或约束。平均slowdown可能掩盖少数作业的长等待，可新增等待时间或slowdown的P95、P99、最大值及违反服务阈值的比例，再评估约束PPO或拉格朗日惩罚。应先固定一项明确约束，避免把多个新指标简单加权。</w:t>
      </w:r>
    </w:p>
    <w:p>
      <w:r>
        <w:t>退化检查：约束关闭或乘子为0时，回到相同模式的原奖励与策略训练；约束阈值充分宽松时应不改变可行解。成本中等，需要更多独立种子和足够长的评估段来稳定尾部估计，也可能降低绿色比例，因此必须报告权衡曲线。</w:t>
      </w:r>
    </w:p>
    <w:p>
      <w:pPr>
        <w:pStyle w:val="Heading2"/>
      </w:pPr>
      <w:r>
        <w:t>方向三 跨负载泛化与迁移</w:t>
      </w:r>
    </w:p>
    <w:p>
      <w:r>
        <w:t>手法为换训练协议，必要时改归一化或编码器。使用训练负载与未见测试负载的明确划分，比较单负载训练、混合训练、零样本迁移和少量微调。优先控制队列特征缩放、集群规模和供给强度，防止把分布差异误判为架构收益。</w:t>
      </w:r>
    </w:p>
    <w:p>
      <w:r>
        <w:t>退化检查：训练与测试恢复同负载、同集群和同预处理时，应回到本项目同分布基线；关闭域随机化或适配模块后恢复原训练协议。成本最高，比较矩阵和训练组合增长较快；若本地算力或数据划分不足，应排在前两项之后。</w:t>
      </w:r>
    </w:p>
    <w:p>
      <w:pPr>
        <w:pStyle w:val="Heading1"/>
        <w:pageBreakBefore/>
      </w:pPr>
      <w:r>
        <w:t>4 推荐方向与推进条件</w:t>
      </w:r>
    </w:p>
    <w:p>
      <w:r>
        <w:t>优先推荐方向一的第一阶段，即只做预测误差压力测试。它直接检验论文依赖未来24小时预测的假设，能够利用同一冻结策略形成配对对照，也能定位主动延迟与绿色回填何时失效。只有观察到稳定、可重复的缺口，且文献核验支持独立问题后，再确定最小算法改造。</w:t>
      </w:r>
    </w:p>
    <w:p>
      <w:pPr>
        <w:pStyle w:val="Heading2"/>
      </w:pPr>
      <w:r>
        <w:t>实验推进顺序</w:t>
      </w:r>
    </w:p>
    <w:p>
      <w:r>
        <w:t>第一步，完成作者模式的固定负载基线，记录代码版本、配置、数据范围、种子、训练预算和权重。先以PPO及GAS-MARL为主，逐步补充FCFS、F2和GA；LPTPN按论文仅在无回填条件比较。</w:t>
      </w:r>
    </w:p>
    <w:p>
      <w:r>
        <w:t>第二步，对author与paper模式做配对验证，所有其他条件一致。把依赖、路径、参数传递等工程修复与Type2语义修正分开记录；若修正导致结果改变，先解释改变，再进行创新实验。</w:t>
      </w:r>
    </w:p>
    <w:p>
      <w:r>
        <w:t>第三步，设置彼此分离的训练、验证和测试作业段，并分别控制训练种子、评估动作采样和预测扰动种子。保留逐序列结果；随机训练以多种子均值、离散程度和配对差异为依据，不把单次落入固定1%或5%误差视为唯一成功标准。</w:t>
      </w:r>
    </w:p>
    <w:p>
      <w:r>
        <w:t>第四步，先跑无误差基线及少量误差水平，再扩展压力测试。算力与耗时先用小规模运行实测后估算；300轮完整训练及三负载多种子组合尚不能依据仓库直接承诺时长。</w:t>
      </w:r>
    </w:p>
    <w:p>
      <w:pPr>
        <w:pStyle w:val="Heading2"/>
      </w:pPr>
      <w:r>
        <w:t>形成研究结论前的判据</w:t>
      </w:r>
    </w:p>
    <w:p>
      <w:r>
        <w:t>基线完成的条件是输入、评价口径与锚点可追溯，实际训练和评估日志完整，差异有说明。候选方向成立的条件是问题在多个种子和独立作业段上重复出现，并且与近期方法的差异明确。创新有效的条件是公平预算下改善目标或约束，退化检查通过，同时报告损失、失败工况和额外开销。</w:t>
      </w:r>
    </w:p>
    <w:p>
      <w:pPr>
        <w:pStyle w:val="Heading2"/>
      </w:pPr>
      <w:r>
        <w:t>主要来源与邻近工作</w:t>
      </w:r>
    </w:p>
    <w:p>
      <w:r>
        <w:t>[1] Chen R, Lin W, Huang H, Ye X, Peng Z. GAS-MARL: Green-Aware job Scheduling algorithm for HPC clusters based on Multi-Action Deep Reinforcement Learning. Future Generation Computer Systems 167 (2025) 107760. DOI 10.1016/j.future.2025.107760。</w:t>
      </w:r>
    </w:p>
    <w:p>
      <w:r>
        <w:t>[2] 作者源码与数据  https://github.com/sioncr/green-rl-sched  原始审查提交 0d89df599ffe092bdd8bfb0c86a0628e58833bde。</w:t>
      </w:r>
    </w:p>
    <w:p>
      <w:r>
        <w:t>[3] SSRN 2026  Job Energy Prediction-Driven Green Scheduling for Heterogeneous HPC Workloads via Attention-Enhanced Dual-Critic Reinforcement Learning  https://papers.ssrn.com/sol3/papers.cfm?abstract_id=6530554  待全文核验的邻近工作，尚不能据标题确认方法差异。</w:t>
      </w:r>
    </w:p>
    <w:p>
      <w:r>
        <w:t>[4] Applied Energy 2026  Energy-aware job scheduling for green data centers under uncertainty: A structure-compressed spectral risk control approach  DOI 10.1016/j.apenergy.2026.128137  待全文核验的邻近工作，尚不能排除与稳健性或风险约束方向重合。</w:t>
      </w:r>
    </w:p>
    <w:sectPr w:rsidR="00FC693F" w:rsidRPr="0006063C" w:rsidSect="00034616">
      <w:pgSz w:w="11906" w:h="16838"/>
      <w:pgMar w:top="1077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 w:line="276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 w:line="276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76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76" w:lineRule="auto" w:after="120"/>
    </w:pPr>
    <w:rPr>
      <w:rFonts w:asciiTheme="majorHAnsi" w:eastAsiaTheme="majorEastAsia" w:hAnsiTheme="majorHAnsi" w:cstheme="majorBidi" w:ascii="Calibri" w:hAnsi="Calibri" w:eastAsia="微软雅黑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GAS MARL 模型拆解与研究方向报告</dc:title>
  <dc:subject>GAS-MARL 论文拆解与候选研究方向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