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GAS-MARL 三种子基线验证报告</w:t>
      </w:r>
    </w:p>
    <w:p>
      <w:pPr>
        <w:pStyle w:val="Subtitle"/>
      </w:pPr>
      <w:r>
        <w:t>Lublin 256  Green Backfilling  Python PyTorch  2026年10月23日</w:t>
      </w:r>
    </w:p>
    <w:p>
      <w:r>
        <w:t>种子0、1、2的GAS-MARL和PPO均已完成300轮训练及统一配对评测，最后一批于北京时间10月23日16时49分结束。本报告核对六份完整训练状态并汇总可比的三种子结果，保留此前单种子报告和全部原始输出。</w:t>
      </w:r>
    </w:p>
    <w:p>
      <w:pPr>
        <w:pStyle w:val="Heading1"/>
        <w:pageBreakBefore w:val="0"/>
      </w:pPr>
      <w:r>
        <w:t>一 复现到什么程度</w:t>
      </w:r>
    </w:p>
    <w:p>
      <w:r>
        <w:t>在本次限定配置下，三个种子的作者模式结果均支持GAS-MARL相对PPO降低平均BSLD并提高绿电利用率。跨种子均值仍与论文不同，且只覆盖一个工作负载和一种回填策略；据此可确认本阶段基线验证完成，不能宣称整篇论文或所有表格已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种子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GAS-MARL</w:t>
              <w:br/>
              <w:t>BSLD 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PPO</w:t>
              <w:br/>
              <w:t>BSLD 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GAS-MARL</w:t>
              <w:br/>
              <w:t>绿电 % ↑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PPO</w:t>
              <w:br/>
              <w:t>绿电 % ↑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23.6781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59.9781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79.02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67.28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29.6191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60.7554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74.81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67.21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29.7957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56.7671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78.21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67.62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均值 ± SD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27.6976 ± 3.4821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59.1668 ± 2.1143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77.35 ± 2.24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67.37 ± 0.22</w:t>
            </w:r>
          </w:p>
        </w:tc>
      </w:tr>
    </w:tbl>
    <w:p>
      <w:pPr>
        <w:spacing w:after="0"/>
      </w:pPr>
    </w:p>
    <w:p>
      <w:r>
        <w:t>以三种子均值之比计算，GAS-MARL的BSLD比PPO低53.19%，ReUtil高9.97个百分点。这是复现方法与对照算法的比较，不是新算法收益。</w:t>
      </w:r>
    </w:p>
    <w:p>
      <w:r>
        <w:t>每个种子的评测点是十段1024作业结果的算术均值；表中SD是三个种子均值之间的样本标准差。训练种子与基础评测种子同号，因此这里描述端到端随机性，不能分解为纯训练方差。</w:t>
      </w:r>
    </w:p>
    <w:p>
      <w:r>
        <w:t>BSLD越低越好；ReUtil越高越好，其分母为集群总耗能。十个固定窗口有11对重叠，不能把30个窗口当作30次独立训练。本报告不进行显著性检验。</w:t>
      </w:r>
    </w:p>
    <w:p>
      <w:pPr>
        <w:pStyle w:val="Heading1"/>
        <w:pageBreakBefore/>
      </w:pPr>
      <w:r>
        <w:t>二 作者模式对照与配对差异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492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marl_multiseed_e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92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图1 三种子作者模式统一配对评测。上排为绝对指标，下排为同种子GAS-MARL相对PPO的差异；每个种子点为十窗均值，菱形和误差条为三种子均值及样本SD。空心方块是论文Table 3和4锚点。120条作者模式记录全部参与统计。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论文BSLD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论文绿电 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BSLD偏差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绿电偏差 pp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GAS-MARL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31.738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81.54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-12.73%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-4.19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PPO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56.358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67.67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+4.98%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-0.30</w:t>
            </w:r>
          </w:p>
        </w:tc>
      </w:tr>
    </w:tbl>
    <w:p>
      <w:pPr>
        <w:spacing w:after="0"/>
      </w:pPr>
    </w:p>
    <w:p>
      <w:r>
        <w:t>上述偏差描述三种子均值与发表均值的差别。性能排序重复出现，并不意味着软件、采样和实现语义的偏离已被消除。</w:t>
      </w:r>
    </w:p>
    <w:p>
      <w:pPr>
        <w:pStyle w:val="Heading1"/>
        <w:pageBreakBefore/>
      </w:pPr>
      <w:r>
        <w:t>三 训练轨迹与证据核验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2791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marl_multiseed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9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图2 六次训练的1800行原始记录全部保留。每种算法粗线为同一轮三个种子的均值，色带为样本SD，浅线为各次训练；未选择最好轮次，也未做移动平均。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核验项目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核验范围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完整训练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六份CSV均300行；日志epoch连续1至300，并与CSV逐行一致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最终模型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六份checkpoint均为第300轮；与独立actor和critic权重逐tensor相等，参数有限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完整状态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双Adam、全局及环境RNG与CSV历史齐全，元数据匹配seed和配置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运行与来源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seed0原批次8步与seed1/2批次16步均正常退出；源码和输入数据SHA256核验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统一评测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3种子×2模式×4算法×10段，共240条记录；均值、CSV与奖励公式核验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配对零效应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三个种子的FCFS、F2和PPO在author与paper模式逐行一致</w:t>
            </w:r>
          </w:p>
        </w:tc>
      </w:tr>
    </w:tbl>
    <w:p>
      <w:pPr>
        <w:spacing w:after="0"/>
      </w:pPr>
    </w:p>
    <w:p>
      <w:r>
        <w:t>训练源提交分别为seed0的0b6541e和seed1/2的8915ae3；作者参考版本为0d89df5。后续工程修复和评测播种变更有单独记录，核验以实际运行保存的源码快照和输入清单为准。</w:t>
      </w:r>
    </w:p>
    <w:p>
      <w:r>
        <w:t>环境为Python 3.11.15、PyTorch 2.7.1+cu128、NumPy 1.24.4、RTX 5060。作者PyTorch 2.1.1因显卡兼容升级；NumPy重复约束统一为1.24.4，OpenCV固定4.11.0.86。这些是复现版本偏离，未计作算法创新。</w:t>
      </w:r>
    </w:p>
    <w:p>
      <w:pPr>
        <w:pStyle w:val="Heading1"/>
        <w:pageBreakBefore/>
      </w:pPr>
      <w:r>
        <w:t>四 截止语义敏感性与研究边界</w:t>
      </w:r>
    </w:p>
    <w:p>
      <w:r>
        <w:t>所有模型均按作者语义训练。paper模式只改变被测试发现的Type 2延迟截止事件处理，用同一第300轮模型和配对随机流评测；没有训练新方法。早期seed0 legacy评测存在共享随机流混杂，本报告统一使用另存的paired评测，未混入其较好数字。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cantSplit/>
          <w:cantSplit/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种子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BSLD  author → paper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BSLD变化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绿电 %  author → paper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23.6781 → 20.7419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-12.40%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79.02 → 79.46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29.6191 → 42.6511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+44.00%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74.81 → 74.28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29.7957 → 29.5825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-0.72%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78.21 → 78.47</w:t>
            </w:r>
          </w:p>
        </w:tc>
      </w:tr>
    </w:tbl>
    <w:p>
      <w:pPr>
        <w:spacing w:after="0"/>
      </w:pPr>
    </w:p>
    <w:p>
      <w:r>
        <w:t>paper模式GAS-MARL的跨种子BSLD为30.9919 ± 11.0224，ReUtil为77.40% ± 2.75个百分点。种子1的BSLD恶化且绿电利用率下降，说明截止语义修正没有带来一致提升，不能把工程修正包装成算法贡献。</w:t>
      </w:r>
    </w:p>
    <w:p>
      <w:r>
        <w:t>已完成范围为Lublin-256、Green-Backfilling以及FCFS、F2、PPO和GAS-MARL的比较。论文中的GA、LPTPN、Cirne、Jann及其他回填配置尚未完成；相同轨迹上的十个窗口也不是严格隔离的外部分布测试。</w:t>
      </w:r>
    </w:p>
    <w:p>
      <w:r>
        <w:t>下一阶段先补核直接近邻，再筛选可证伪的候选。绿电预测误差下延迟与回填稳健性仍待查新，不能因为加入预测、注意力或双critic便认定创新。若开展小试，应复用固定权重、冻结真实供给与作业，仅扰动调度器可见的未来预测，并先验证零扰动完全退化。</w:t>
      </w:r>
    </w:p>
    <w:p>
      <w:r>
        <w:t>本阶段未追加长期训练。代码、图表和小型证据同步研究分支及草稿PR；权重、虚拟环境与用户论文PDF保留本地。首轮报告继续保存，自动跟进保持低频，仅在完成、失败或有实质科研发现时通知。</w:t>
      </w:r>
    </w:p>
    <w:p>
      <w:r>
        <w:t>复核入口为scripts/verify_multiseed.py与scripts/analyze_multiseed.py。研究证据目录multiseed保存逐序列数据、每种子与跨种子汇总、源输入哈希和模型核验记录，图表附源数据与绘图脚本。</w:t>
      </w:r>
    </w:p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GAS-MARL 三种子基线验证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3" w:lineRule="auto" w:after="14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