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 MARL 预测偏差先导诊断报告</w:t>
      </w:r>
    </w:p>
    <w:p>
      <w:pPr>
        <w:pStyle w:val="Subtitle"/>
      </w:pPr>
      <w:r>
        <w:t>三个冻结模型  两个固定窗口  未来预测高估20%  2026年10月23日</w:t>
      </w:r>
    </w:p>
    <w:p>
      <w:r>
        <w:t>先导于北京时间20时13分完成，18次完整评测全部结束。六组原始路径与零偏差路径在动作、事件、排程、逐作业记录、物理指标和随机状态上完全一致；随后才运行六次偏差条件。没有训练新模型，也没有追加幅度、种子或窗口。</w:t>
      </w:r>
    </w:p>
    <w:p>
      <w:pPr>
        <w:pStyle w:val="Heading1"/>
        <w:pageBreakBefore w:val="0"/>
      </w:pPr>
      <w:r>
        <w:t>一 结果支持什么</w:t>
      </w:r>
    </w:p>
    <w:p>
      <w:r>
        <w:t>在本次人为压力条件下，三个种子的两窗口平均真实ReUtil均下降，支持预先定义的H1。但六个窗口配对中有一个ReUtil提高，BSLD和综合奖励也呈现取舍；这个结果只证明有限条件下的预测敏感性，不能写成所有场景性能退化、稳健算法有效或创新已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种子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基线绿电</w:t>
              <w:br/>
              <w:t>%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高估后绿电</w:t>
              <w:br/>
              <w:t>%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绿电变化</w:t>
              <w:br/>
              <w:t>百分点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平均BSLD</w:t>
              <w:br/>
              <w:t>基线 → 高估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综合奖励</w:t>
              <w:br/>
              <w:t>基线 → 高估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76.62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75.44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-1.183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16.73 → 19.02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0.7328 → 0.7164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70.57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69.40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-1.170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26.48 → 18.03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0.6527 → 0.6579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75.57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73.10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-2.464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23.67 → 23.05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0.7083 → 0.6849</w:t>
            </w:r>
          </w:p>
        </w:tc>
      </w:tr>
    </w:tbl>
    <w:p>
      <w:pPr>
        <w:spacing w:after="0"/>
      </w:pPr>
    </w:p>
    <w:p>
      <w:r>
        <w:t>例如种子1在窗口6567的绿电利用率下降约3.36个百分点，BSLD却从35.25降至12.50，综合奖励增加约0.01194。不同指标的方向不能互相替代；报告和源数据保留全部正负变化。</w:t>
      </w:r>
    </w:p>
    <w:p>
      <w:pPr>
        <w:pStyle w:val="Heading1"/>
        <w:pageBreakBefore/>
      </w:pPr>
      <w:r>
        <w:t>二 固定条件与隔离闸门</w:t>
      </w:r>
    </w:p>
    <w:p>
      <w:r>
        <w:t>模型是已有第300轮GAS-MARL权重，保持author语义、Lublin-256和Green-Backfilling。按原评测清单先选6567，再跳过重叠窗口7146，选919；保留原iteration 1和3进行paired播种。它们是复用窗口，不是新测试集。</w:t>
      </w:r>
    </w:p>
    <w:p>
      <w:r>
        <w:t>仅把当前小时之后的供给预测乘1.20，当前已观测小时保持准确；24槽状态、作业绿色特征和回填估计均经过预测接口。真实供给积分、作业和功率保持固定。零偏差保留原窗口重复规则，不等同于一个经过现实误差标定的预报器。</w:t>
      </w:r>
    </w:p>
    <w:p>
      <w:r>
        <w:t>执行使用共享研究锁、新输出目录、550秒软超时和600秒进程树硬超时。源代码、输入与最终权重在运行前后校验；预测接口和执行器通过110项整合测试后才运行。完整事件轨迹保留本地，小型证据提供哈希与独立复核结果。</w:t>
      </w:r>
    </w:p>
    <w:p>
      <w:pPr>
        <w:pStyle w:val="Heading1"/>
        <w:pageBreakBefore w:val="0"/>
      </w:pPr>
      <w:r>
        <w:t>三 六组窗口的代价与取舍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种子 / 起点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BSLD</w:t>
              <w:br/>
              <w:t>基线 → 高估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绿电变化</w:t>
              <w:br/>
              <w:t>百分点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奖励变化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棕电变化</w:t>
              <w:br/>
              <w:t>MJ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等待P95</w:t>
              <w:br/>
              <w:t>变化 小时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0 / 6567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20.31 → 16.25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-1.180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-0.00368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+71.20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+14.20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0 / 919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13.15 → 21.80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-1.186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-0.02914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+47.35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+5.30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 / 6567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35.25 → 12.50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-3.356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+0.01194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+276.09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-24.52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1 / 919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17.71 → 23.57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+1.015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-0.00157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-80.80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+0.28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2 / 6567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26.59 → 18.24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-1.238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+0.00432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+115.99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+35.55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2 / 919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20.75 → 27.87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-3.690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-0.05115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+261.36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-14.41</w:t>
            </w:r>
          </w:p>
        </w:tc>
      </w:tr>
    </w:tbl>
    <w:p>
      <w:pPr>
        <w:spacing w:after="0"/>
      </w:pPr>
    </w:p>
    <w:p>
      <w:r>
        <w:t>正的等待或棕电变化表示代价增加。分位数为每个episode内1024个作业的线性插值分位数；没有把作业或窗口当作独立训练重复，也没有进行显著性检验。逐条件绝对值、P50/P95/P99及最大值、三指标和总绿棕能耗均保存在源数据。</w:t>
      </w:r>
    </w:p>
    <w:p>
      <w:pPr>
        <w:pStyle w:val="Heading1"/>
        <w:pageBreakBefore/>
      </w:pPr>
      <w:r>
        <w:t>四 资源开销与测量边界</w:t>
      </w:r>
    </w:p>
    <w:p>
      <w:r>
        <w:t>评测矩阵耗时149.78秒，进程CPU时间144.00秒。观测到的进程峰值工作集约1.43GiB，CUDA分配器峰值约14.42MiB，日志统计约11.30MB；前两者不是整机RAM或显卡全部占用。GPU利用率没有采样，不能由分配显存推算。</w:t>
      </w:r>
    </w:p>
    <w:p>
      <w:r>
        <w:t>能耗采用作者的首作业启动至最终实际完成的PowerStruc积分范围，并单独记录首到达至首启动的空闲间隔与静态能耗；没有悄悄修正原ReUtil分母。makespan按首到达至实际最终完成计算。这里的真实能耗指仿真真实供给下的集群积分，不是本机插座耗电。</w:t>
      </w:r>
    </w:p>
    <w:p>
      <w:r>
        <w:t>源数据同时保存动作、请求与实际延迟、到达backfill_check的候选及接受次数、实际回填数和预测上限裁切。裁切比例的观测时点会随排程改变，不能把其相关变化当作延迟或回填单一通道的因果消融。原始全数组前后哈希字符串未单独保存；独立审计使用冻结源数据重建物理积分，并区分它与执行时的数组不变断言。</w:t>
      </w:r>
    </w:p>
    <w:p>
      <w:pPr>
        <w:pStyle w:val="Heading1"/>
        <w:pageBreakBefore w:val="0"/>
      </w:pPr>
      <w:r>
        <w:t>五 下一阶段需要的证据</w:t>
      </w:r>
    </w:p>
    <w:p>
      <w:r>
        <w:t>目前足以继续调查预测误差及多目标取舍，但尚不能据此确定SCI新方法。GAS-MARL-ADC和SCS-RC直接近邻的合法全文仍未取得，观测权限、动作、约束、误差注入与评测划分尚有未知。下一步优先补齐这两篇的合法作者稿或授权全文，再判断候选是否重复及是否值得提出最小改造；本次不追加长期训练。</w:t>
      </w:r>
    </w:p>
    <w:p>
      <w:r>
        <w:t>原始来源：https://doi.org/10.2139/ssrn.6530554；https://doi.org/10.1016/j.apenergy.2026.128137。复核入口：scripts/analyze_forecast_pilot.py；证据：research/evidence/forecast_pilot_01。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GAS-MARL 冻结模型先导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4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