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GAS-MARL 首轮基线验证报告</w:t>
      </w:r>
    </w:p>
    <w:p>
      <w:pPr>
        <w:pStyle w:val="Subtitle"/>
      </w:pPr>
      <w:r>
        <w:t>Lublin-256 · Green-Backfilling · 训练种子0 · Python/PyTorch</w:t>
      </w:r>
    </w:p>
    <w:p>
      <w:r>
        <w:t>完整流水线完成于北京时间2026年10月22日 04:18，用时13.57小时。当前交付为一组独立训练种子的完整基线及固定权重语义对照。</w:t>
      </w:r>
    </w:p>
    <w:p>
      <w:pPr>
        <w:pStyle w:val="Heading1"/>
      </w:pPr>
      <w:r>
        <w:t>1. 结论与论文对照</w:t>
      </w:r>
    </w:p>
    <w:p>
      <w:r>
        <w:t>作者模式的主要性能排序得到支持：本次GAS-MARL在平均BSLD和绿电利用率上均优于PPO。不过，单个训练种子、软件版本偏离和随机评测不足以证明论文数值已复现，也不构成新的算法贡献。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本次BSLD↓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本次绿电/%↑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论文BSLD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论文绿电/%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FCFS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91.0012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61.86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F2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55.6667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59.18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PPO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65.2737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66.78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56.358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67.67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GAS-MARL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19.8393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80.34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31.738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81.54</w:t>
            </w:r>
          </w:p>
        </w:tc>
      </w:tr>
    </w:tbl>
    <w:p>
      <w:pPr>
        <w:spacing w:after="20"/>
      </w:pPr>
    </w:p>
    <w:p>
      <w:r>
        <w:t>相对本次PPO，GAS-MARL的BSLD低69.61%，绿电利用率高13.55个百分点。此比较描述本次相同十段输入上的结果，不应解释为对论文方法的新改进。</w:t>
      </w:r>
    </w:p>
    <w:p>
      <w:r>
        <w:t>相对论文Table 3/4，GAS-MARL的BSLD偏差为−37.49%，ReUtil偏差为−1.20个百分点；PPO分别为+15.82%与−0.89个百分点。BSLD降低与绿电利用率降低同时存在，不能只挑选有利指标判定复现成功。</w:t>
      </w:r>
    </w:p>
    <w:p>
      <w:r>
        <w:t>指标方向：BSLD越低越好，ReUtil越高越好。ReUtil的分母是集群总耗能；表中百分数不是“可用绿电消纳率”。</w:t>
      </w:r>
    </w:p>
    <w:p>
      <w:pPr>
        <w:pStyle w:val="Heading1"/>
        <w:pageBreakBefore/>
      </w:pPr>
      <w:r>
        <w:t>2. 训练轨迹与逐序列结果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566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_marl_baseline_trai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图1｜两算法全部300轮训练记录。浅线保留每轮均值，实线为后向10轮移动均值；首9轮使用已有轮数。只有一个独立训练种子，不绘制种子间置信区间。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05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_marl_baseline_author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图2｜作者模式的十段1024作业评测。保留各段原始点，均值和样本SD仅描述片段差异；空心标记为论文锚点。十个作业窗口中有11对重叠，不把这些点视为十次独立训练。</w:t>
      </w:r>
    </w:p>
    <w:p>
      <w:pPr>
        <w:pStyle w:val="Heading1"/>
        <w:pageBreakBefore/>
      </w:pPr>
      <w:r>
        <w:t>3. 随机采样混杂与隔离对照</w:t>
      </w:r>
    </w:p>
    <w:p>
      <w:r>
        <w:t>原评测程序只在整次评测开始播种一次，随后不同算法和不同片段共用随机流。截止语义改变MARL的轨迹长度后，会改变后续PPO所用的随机数。原始两模式的PPO第一段相同、后九段不同；PPO的延迟动作固定为零，因此其差异不能归因于截止修正。</w:t>
      </w:r>
    </w:p>
    <w:p>
      <w:r>
        <w:t>为隔离该混杂，保留全部原始结果和最终第300轮权重，新增paired模式：每个算法、每段起点分别重置Python、NumPy、Torch及环境随机状态，两种语义使用同一派生种子。没有重新训练模型，也没有覆盖原评测。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固定模型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BSLD：author → paper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绿电/%：author → paper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PPO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59.9781 → 59.9781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67.28 → 67.28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GAS-MARL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23.6781 → 20.7419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79.02 → 79.46</w:t>
            </w:r>
          </w:p>
        </w:tc>
      </w:tr>
    </w:tbl>
    <w:p>
      <w:pPr>
        <w:spacing w:after="20"/>
      </w:pPr>
    </w:p>
    <w:p>
      <w:r>
        <w:t>PPO、FCFS、F2在两模式下逐行完全相同，零效应对照通过。GAS-MARL的BSLD变化为-12.40%，绿电利用率变化为+0.44个百分点；逐段BSLD有改善、恶化和不变，不能声称所有序列均受益。</w:t>
      </w:r>
    </w:p>
    <w:p>
      <w:r>
        <w:t>隔离对照的方向与原始共享随机流比较不同，说明修复评测设计会影响研究结论。新的author结果与原始author结果也可不同，因为采样种子方案发生改变；两套数字不能混成一个表或挑选最优值。</w:t>
      </w:r>
    </w:p>
    <w:p>
      <w:r>
        <w:t>限制：这仍是同一个作者模式训练的模型、一个评测基础种子。它验证的是Type 2截止事件的语义敏感性，不是独立训练的新方法；需要更多训练和评测种子才能评估稳定性。未进行显著性检验。</w:t>
      </w:r>
    </w:p>
    <w:p>
      <w:pPr>
        <w:pStyle w:val="Heading1"/>
        <w:pageBreakBefore/>
      </w:pPr>
      <w:r>
        <w:t>4. 证据、版本与后续安排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left"/>
            </w:pPr>
            <w:r>
              <w:rPr>
                <w:b/>
                <w:sz w:val="19"/>
              </w:rPr>
              <w:t>核验项目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9"/>
              </w:rPr>
              <w:t>已核实结果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训练完整性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两算法各300行CSV、300条连续epoch日志；各行数值一致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权重与恢复状态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最终checkpoint均为第300轮；网络与独立权重逐tensor一致，参数有限，双Adam与全部RNG齐全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运行与来源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8个步骤退出0、stderr均为空；23个源码快照和6个数据文件SHA256通过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9"/>
              </w:rPr>
              <w:t>评测对齐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每模式4算法×10段×1024作业；逐序列均值、CSV与奖励公式一致</w:t>
            </w:r>
          </w:p>
        </w:tc>
      </w:tr>
    </w:tbl>
    <w:p>
      <w:pPr>
        <w:spacing w:after="20"/>
      </w:pPr>
    </w:p>
    <w:p>
      <w:r>
        <w:t>训练源版本：0b6541e；作者参考版本：0d89df5。原作者导入保留于upstream-import。配对评测使用另存的比较脚本和原始权重SHA256清单，训练权重未被改写。原01任务的127轮中断数据与本次完整02任务分开保留。</w:t>
      </w:r>
    </w:p>
    <w:p>
      <w:r>
        <w:t>环境为Python 3.11.15、PyTorch 2.7.1+cu128、NumPy 1.24.4、RTX 5060。相对作者依赖，PyTorch由2.1.1升级以支持显卡，NumPy冲突固定版本统一为1.24.4，OpenCV固定4.11.0.86；这些偏离已进入运行环境证据。绘图依赖在训练完成后安装，未冒充为训练时环境。</w:t>
      </w:r>
    </w:p>
    <w:p>
      <w:r>
        <w:t>工程状态：连续恢复时已完成算法的检查点传递缺陷已补失败测试并修复，不覆盖新检查点，复制失败会明确标记运行失败。该改动属于可靠性修复，不算创新。</w:t>
      </w:r>
    </w:p>
    <w:p>
      <w:r>
        <w:t>下一阶段优先验证跨随机种子的稳定性，再决定是否进入绿电预测误差的创新试验。现有近邻文献已覆盖预测、注意力、双critic和部分风险调度，尚缺关键全文，不能仅凭概念名称声称新颖。新增长期实验需记录独立种子与一致评测协议。</w:t>
      </w:r>
    </w:p>
    <w:p>
      <w:r>
        <w:t>自动定时监测按用户要求保持关闭。代码、小型证据、逐序列数据和可编辑报告同步研究分支；训练权重、虚拟环境及用户论文PDF留在本地。</w:t>
      </w:r>
    </w:p>
    <w:p>
      <w:r>
        <w:t>证据索引：研究目录下的baseline02证据包含原始训练CSV、两套原始逐序列评测、配对评测、核验记录及源文件/数据哈希；图表附源数据CSV与绘图脚本。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GAS-MARL | 首轮基线验证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4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