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Propunere de contract PECH</w:t>
      </w:r>
    </w:p>
    <w:p>
      <w:pPr>
        <w:pStyle w:val="Subtitle"/>
      </w:pPr>
      <w:r>
        <w:t>Schallergasse 35 1120 Wien</w:t>
      </w:r>
    </w:p>
    <w:p>
      <w:r>
        <w:t>2026.10.12  |  Sinteză în română pentru lectură</w:t>
      </w:r>
    </w:p>
    <w:p>
      <w:pPr>
        <w:pStyle w:val="Heading1"/>
      </w:pPr>
      <w:r>
        <w:t>Servicii prețuri termene și modificări propuse</w:t>
      </w:r>
    </w:p>
    <w:p>
      <w:r>
        <w:t>Propunere nouă A&amp;C, netrimisă și nesemnată. Nu confirmă acceptarea extinderilor de către PECH. Cele șase sume ofertate rămân: 42.000 + 6.000 + 5.000 + 800 + 14.000 + 1.500 = 69.300 EUR net; TVA 20% = 13.860 EUR; total 83.160 EUR brut.</w:t>
      </w:r>
    </w:p>
    <w:p>
      <w:r>
        <w:t>Se propun explicit toate serviciile de structură necesare execuției: planuri complete, noduri/ancore/suduri, goluri, fundare și lift, lemn/oțel, balcoane, sprijiniri temporare, cantități/liste, verificări de foc și seismic relevante, as-built structural, coordonare și un Planwechsel în conceptul proiectului. Planurile de fabricație/atelier sunt ale executantului; PECH definește cerințele, verifică și aprobă.</w:t>
      </w:r>
    </w:p>
    <w:p>
      <w:r>
        <w:t>Prüfingenieur se adaugă expres în cadrul poziției 05 de 14.000 EUR, cu persoane calificate și independență verificată. Bauwerksbuch pentru clădirea existentă întreagă și intervențiile noi se adaugă poziției 06 de 1.500 EUR. Acestea sunt extinderi propuse în totalul actual, fără inventarea unui preț separat și fără a le eticheta drept gratuite.</w:t>
      </w:r>
    </w:p>
    <w:p>
      <w:r>
        <w:t>Se păstrează 12 recepții și 450 EUR net pentru fiecare recepție suplimentară, cu aprobare prealabilă pentru costuri. Același termen PI/statică nu se facturează de două ori. Corectarea erorilor proprii și refacerea propriilor lucrări nu reprezintă suplimente.</w:t>
      </w:r>
    </w:p>
    <w:p>
      <w:r>
        <w:t>PECH nu a ofertat o durată fixă de 12 luni. Oferta începe după comandă scrisă și documente, cu termene convenite. Draftul introduce ca propuneri AG: D1 la 3 săptămâni de la T0 real, calendar D2-D5 convenit, asistență pentru 12 luni de execuție și prelungire condiționată la 15 luni. Nu sunt reutilizate datele expirate din TOMS.</w:t>
      </w:r>
    </w:p>
    <w:p>
      <w:r>
        <w:t>Se negociază preț fix fără index ZT, plată în 30 de zile după livrare verificabilă, retenție de 5% din facturile nete și garanție contractuală de minimum 3 ani după recepția integrală, cu posibilitatea unei garanții bancare echivalente. Acestea modifică expres regula PECH „Kein Haftrücklass”. Se adaugă drepturi de utilizare/modificare/terți, fișiere editabile, asigurare, răspundere și suplimente numai aprobate. Încetarea implică decont conform § 1168: poate exista remunerație și pentru partea neexecutată, cu deducerea economiilor și veniturilor alternative prevăzute de lege. Drepturile imperative, inclusiv eventuala garanție de plată § 1170b ABGB, sunt păstrate.</w:t>
      </w:r>
    </w:p>
    <w:p>
      <w:r>
        <w:t>Nu sunt incluse BauKG, ÖBA, Bauführung, arhitectură generală sau REALiG/Baumanagement. Rămân de confirmat semnatarul, planlista, capacitatea echipei, PI și independența, persoanele pentru Bauwerksbuch, asigurarea, calendarul și acceptarea expresă a întregului pachet la 69.300 EUR net.</w:t>
      </w:r>
    </w:p>
    <w:p>
      <w:r>
        <w:t>Textul german care urmează este propunerea contractuală. Sinteza în română explică modificările și nu are efect contractual autonom.</w:t>
      </w:r>
    </w:p>
    <w:p>
      <w:pPr>
        <w:pStyle w:val="Title"/>
        <w:pageBreakBefore/>
      </w:pPr>
      <w:r>
        <w:t>Werkvertrag PECH</w:t>
      </w:r>
    </w:p>
    <w:p>
      <w:pPr>
        <w:pStyle w:val="Subtitle"/>
      </w:pPr>
      <w:r>
        <w:t>Schallergasse 35 1120 Wien</w:t>
      </w:r>
    </w:p>
    <w:p>
      <w:r>
        <w:t>Dieser Text ist ein neuer, nicht versendeter und nicht unterzeichneter Vertragsentwurf der Auftraggeberin. Er ist keine bereits bestehende Beauftragung, keine Annahme des unveränderten Angebots 2026-470/AN01 und kein Nachweis dafür, dass Dr. PECH die hier ergänzten Leistungen zu den bisherigen Preisen bereits angeboten oder akzeptiert hat.</w:t>
      </w:r>
    </w:p>
    <w:p>
      <w:r>
        <w:t>Die sechs Angebotspreise und der angebotene Preis von EUR 450,00 netto für eine zusätzliche Abnahme bleiben erhalten. Die Auftraggeberin schlägt jedoch den vollständigen Leistungsumfang dieses Vertrages innerhalb der unveränderten Gesamtpauschale von EUR 69.300,00 netto vor. Insbesondere werden Prüfingenieur und Bauwerksbuch für den gesamten Bestand und die neuen Eingriffe ausdrücklich neu aufgenommen. Es gibt hierfür keine historische Einzelpreisbestätigung und keine mit EUR 0,00 ausgewiesene zusätzliche Leistung.</w:t>
      </w:r>
    </w:p>
    <w:p>
      <w:r>
        <w:t>Der Vertrag entsteht erst durch übereinstimmende, rechtswirksame Unterzeichnung beider Parteien. Abweichungen des AN sind vor Unterzeichnung im Text oder in einer von beiden Parteien unterzeichneten Abweichungsliste festzuhalten. Keine nicht ausdrücklich vereinbarte Einschränkung aus früheren Angeboten, allgemeinen Bedingungen oder E-Mails geht den hier beschriebenen Leistungen vor.</w:t>
      </w:r>
    </w:p>
    <w:p>
      <w:pPr>
        <w:pStyle w:val="Heading1"/>
      </w:pPr>
      <w:r>
        <w:t>Vertragsparteien und Projekt</w:t>
      </w:r>
    </w:p>
    <w:p>
      <w:r>
        <w:t>Auftraggeberin (AG): A&amp;C Wohnart Immobilien GmbH, FN 668224h, Handelsgericht Wien, UID ATU83086125; Geschäftsanschrift Schallergasse 35, 1120 Wien; vertreten durch Geschäftsführer Cosmin-Adrian Covaciu; E-Mail office@ac-wohnart.at; Telefon +43 665 67055045. Eine gegebenenfalls abweichende Rechnungsanschrift wird vor Unterzeichnung bestätigt.</w:t>
      </w:r>
    </w:p>
    <w:p>
      <w:r>
        <w:t>Auftragnehmer (AN): Dr. PECH Ziviltechnikergesellschaft mbH, FN 426034x, Handelsgericht Wien, UID ATU69226367; Johann Strauß-Gasse 32/11, 1040 Wien; Telefon +43 1 505 36 80; E-Mail office@zt-pech.at. Projektkontakt gemäß Angebot: DI Bernhard Ployer, Telefon +43 1 5053680-33, ployer@zt-pech.at. Die zur firmenmäßigen Unterzeichnung berechtigte Person und der fachlich verantwortliche Projektleiter sind vor Unterzeichnung zu bestätigen.</w:t>
      </w:r>
    </w:p>
    <w:p>
      <w:r>
        <w:t>Bauvorhaben: Wohnhaus Schallergasse 35, 1120 Wien (Meidling), Gründerzeithaus mit Keller, Erdgeschoss und drei Obergeschossen; statische Ertüchtigung des Bestandes, zweigeschossiger Dachgeschossausbau, Aufzugszubau und hofseitige Balkone. Der genaue Bestand und das genehmigte Bauvorhaben ergeben sich aus der bei Vertragsbeginn gemeinsam bestätigten Plan- und Dokumentenliste.</w:t>
      </w:r>
    </w:p>
    <w:p>
      <w:pPr>
        <w:pStyle w:val="Heading1"/>
      </w:pPr>
      <w:r>
        <w:t>1 Vertragsgegenstand Rangordnung und ausdrückliche Erweiterung</w:t>
      </w:r>
    </w:p>
    <w:p>
      <w:r>
        <w:t>(1) Der AN schuldet für das bezeichnete Vorhaben die vollständige Tragwerksplanung und Ausführungsstatik einschließlich ausführungsreifer konstruktiver Details, Durchbruchsplanung im Bestand, Planung der Baugrubensicherung und statisch relevanter temporärer Sicherungen, Untergrundbeschau, statische Begleitung und Prüfingenieurleistungen sowie die Schlussunterlagen und das Bauwerksbuch für das gesamte bestehende Gebäude einschließlich aller neuen Bauteile und Eingriffe. Der geschuldete Erfolg ist ein in seinem Fachbereich vollständiges, prüffähiges, untereinander abgestimmtes und für die vereinbarte Ausführung verwendbares Gesamtpaket.</w:t>
      </w:r>
    </w:p>
    <w:p>
      <w:r>
        <w:t>(2) Vertragsbestandteile in absteigender Rangfolge sind: spätere beiderseits ausdrücklich vereinbarte Änderungen beziehungsweise eine bei Unterzeichnung beiderseits gezeichnete Abweichungsliste, jeweils nur hinsichtlich der konkret geänderten Punkte; dieser beiderseits unterzeichnete Werkvertrag einschließlich der Anlagen 1 bis 4; die gemeinsam bestätigte Plan- und Dokumentenliste; das unveränderte Originalangebot Dr. PECH 2026-470/AN01 vom 2026.09.17 als Anlage 5. Die historischen Beträge bleiben dokumentiert; alle ausdrücklichen Erweiterungen dieses Vertrages gehen Einschränkungen der ursprünglichen Leistungsbeschreibung vor.</w:t>
      </w:r>
    </w:p>
    <w:p>
      <w:r>
        <w:t>(3) Der bisher allgemeine Verweis auf die Leistungsbeschreibung des Auftraggebers wird durch die präzisen §§ 2 bis 10 und Anlage 1 dieses Vertrages ersetzt. Ein nicht identifiziertes historisches Leistungsverzeichnis kann den vereinbarten Umfang nicht beschränken. Die TOMS-Unterlagen dienten ausschließlich als interne Arbeitsgrundlage der AG; sie sind keine PECH-Zusage, keine Vertragsanlage und begründen keine Übernahme von TOMS-Ausschlüssen.</w:t>
      </w:r>
    </w:p>
    <w:p>
      <w:r>
        <w:t>(4) Die Beträge der sechs Angebotspositionen bleiben unverändert. Die Zuordnung der zusätzlichen Prüfingenieurleistungen zu Position 05 und des gesamten Bauwerksbuchs zu Position 06 erfolgt mit diesem neuen Vertragsangebot. Soweit vorbereitende Leistungen technisch zu Position 01 bis 04 gehören, sind sie dort enthalten. Diese Zuordnung verändert weder die sechs Einzelbeträge noch die Gesamtpauschale und bewirkt keine doppelte Abrechnung.</w:t>
      </w:r>
    </w:p>
    <w:p>
      <w:r>
        <w:t>(5) Abweichende Bedingungen des AN gelten nur, soweit sie ausdrücklich mit diesem Vertrag vereinbar sind. Insbesondere werden Preisindexierung, automatische Regie- oder Stehzeitabrechnung, Ausschluss einer Retention, eine allgemeine Schadloshaltung des AN, Rechtevorbehalte gegen die projektbezogene Nutzung und Änderung durch Dritte, Zahlungsziel 14 Tage und eine Anerkennung der Rechnung durch Schweigen nicht übernommen. Das Originalangebot bleibt unverändert dokumentiert.</w:t>
      </w:r>
    </w:p>
    <w:p>
      <w:r>
        <w:t>(6) Nicht beauftragt sind BauKG-Leistungen und eine Funktion als Planungs- oder Baustellenkoordinator nach BauKG. Ebenso nicht beauftragt sind allgemeines Baumanagement, allgemeine Architekturplanung, örtliche Bauaufsicht (ÖBA), Bauführung und kaufmännische Gesamtprojektsteuerung. Die in diesem Vertrag ausdrücklich vereinbarte technische Tragwerks- und Prüfkoordination bleibt vollständig enthalten. REALiG oder deren Baumanagement-/Planungsleistungen sind keine Vertragspartei und kein Bestandteil dieses Vertrages.</w:t>
      </w:r>
    </w:p>
    <w:p>
      <w:pPr>
        <w:pStyle w:val="Heading1"/>
      </w:pPr>
      <w:r>
        <w:t>2 Planungsgrundlagen Bestand und Untersuchungen</w:t>
      </w:r>
    </w:p>
    <w:p>
      <w:r>
        <w:t>(1) Ausgangsgrundlage sind der Baubescheid der MA 37 vom 2023.04.21, GZ MA37/1539234-2021-1, die genehmigten Einreichpläne P2041 mit Planstand 2023.04.20 sowie die von der AG bereitgestellten Architektur-, Bestands- und Fachplanungen. Der aus der bisherigen Bearbeitung bekannte Architekturstand 2026.09.08 ist eine Arbeitsreferenz, deren Fortgeltung vor Vertragsbeginn gemeinsam bestätigt wird. Ein aktuellerer, einvernehmlich dokumentierter Stand geht als Bearbeitungsgrundlage vor; die bewilligten Unterlagen bleiben für den Bewilligungsabgleich maßgeblich.</w:t>
      </w:r>
    </w:p>
    <w:p>
      <w:r>
        <w:t>(2) Die AG stellt die vorhandenen Unterlagen über das private Projektportal https://www.ac-wohnart.at/portal oder einen gleichwertigen gesicherten Übertragungsweg bereit. Innerhalb von drei Werktagen nach Zugang benennt der AN vollständig und konkret unleserliche oder für den Bearbeitungsbeginn wesentliche fehlende Unterlagen. Die Parteien bestätigen Dateiname, Index, Datum, Bearbeitungszweck und Empfang in Anlage 4. Ein pauschaler Vorbehalt unvollständiger Unterlagen ersetzt diese Prüfung nicht.</w:t>
      </w:r>
    </w:p>
    <w:p>
      <w:r>
        <w:t>(3) Der AN besichtigt das Objekt, prüft die Vorbemessung und das Fundierungskonzept aus 2022 sowie die vorhandenen Mauerwerks- und Baugrundinformationen fachlich auf Eignung, Plausibilität und Widersprüche und schreibt sie in eigener Verantwortung zum vereinbarten Ausführungsstand fort. Als vorhandene Quellen sind insbesondere das Mauerwerksgutachten 2021, Bohrprofile MA 29 C670/3, D618/2 und D618/3 und die geotechnische Zusammenfassung vom 2026.08.11 zu berücksichtigen. Ein ausreichender Bestand dieser Grundlagen wird durch diesen Entwurf nicht ohne eigene Prüfung des AN behauptet.</w:t>
      </w:r>
    </w:p>
    <w:p>
      <w:r>
        <w:t>(4) Die Konstruktionen werden bei der anfänglichen Objektbegehung und bei den vorgesehenen Öffnungs- und Abbrucharbeiten im statisch relevanten Umfang aufgenommen und mit den Annahmen abgeglichen. Sichtbare Abweichungen, Setzungen, Risse, Feuchtigkeit oder Schäden im relevanten Tragwerk dokumentiert der AN mit Fotos, Zuordnung und Folgerungen. Bestandsaufnahmen und übliche Fortschreibung innerhalb des vereinbarten Projekts sind in der Pauschale enthalten.</w:t>
      </w:r>
    </w:p>
    <w:p>
      <w:r>
        <w:t>(5) Der AN legt ein etwa notwendiges zusätzliches Untersuchungsprogramm mit Grund, Umfang, Ausführendem, Kosten und Terminfolgen schriftlich vor. Destruktive Proben, Sondierarbeiten, externe geotechnische Gutachten und Laborleistungen dürfen nur nach vorheriger schriftlicher Freigabe der AG ausgelöst werden. Die Bauausführung der Öffnungen und deren fachgerechter Verschluss erfolgen grundsätzlich durch die Baufirma. Der AN plant und beaufsichtigt die für seine Leistung erforderlichen Untersuchungsstellen fachlich. Keine generelle Befreiung von seiner Haftung für eigene Fehler oder schuldhafte Beschädigungen ist vereinbart.</w:t>
      </w:r>
    </w:p>
    <w:p>
      <w:r>
        <w:t>(6) Der AN dokumentiert im Dossier D1 die anzuwendenden technischen Regelwerke, Bauzustände, Eurocodes und nationalen Anhänge, Materialkennwerte, Nutzungs- und Lastannahmen, Zuverlässigkeits- und Schadensfolgeklassen, Brandschutzanforderungen und die Einordnung bestehender Nachweise. Er prüft, ob vorhandene Erdbeben- und Bestandsnachweise für das konkrete bewilligte und ausgeführte Vorhaben verwendbar sind; erforderliche tragwerksbezogene Ergänzungen im vereinbarten Projektumfang sind enthalten. Eine pauschale Aussage 'bereits vorhanden' ersetzt die dokumentierte Prüfung nicht.</w:t>
      </w:r>
    </w:p>
    <w:p>
      <w:r>
        <w:t>(7) Maßgeblich sind die rechtlich und technisch auf das konkrete Vorhaben anzuwendenden Fassungen einschließlich einschlägiger Übergangsbestimmungen. Der AN darf die Aufrechterhaltung der vorhandenen Bewilligung nur unter Einhaltung dieser Vorgaben anstreben. Er warnt die AG unverzüglich schriftlich vor nicht geeigneten oder widersprüchlichen Vorgaben und beschreibt einen rechtmäßigen und technisch sicheren Lösungsweg.</w:t>
      </w:r>
    </w:p>
    <w:p>
      <w:pPr>
        <w:pStyle w:val="Heading1"/>
      </w:pPr>
      <w:r>
        <w:t>3 Ausführungsstatik und Durchbruchsplanung Positionen 01 und 02</w:t>
      </w:r>
    </w:p>
    <w:p>
      <w:r>
        <w:t>(1) Position 01 umfasst die vollständige prüffähige Ausführungsstatik und sämtliche erforderlichen Schalungs-, Bewehrungs-, Positions-, Last- und konstruktiven Führungs- und Detailpläne der gesamten vereinbarten Tragstruktur. Die Vollständigkeit wird bauteilbezogen und nicht nach der bloßen Anzahl gelieferter Seiten beurteilt.</w:t>
      </w:r>
    </w:p>
    <w:p>
      <w:r>
        <w:t>(2) Enthalten sind insbesondere: die Stahlbeton-Fundamentplatte mit zunächst zugrunde gelegter Dicke 30 cm samt erforderlicher Fundierung und Anschluss an den Bestand; Unterfangungen mit Abschnittsbreiten, Reihenfolge, Geometrie und Bewehrung; sämtliche tragenden Bauteile des Aufzugsschachts einschließlich Grube und Fundierung; Ertüchtigung der Tram- und Dippelbaumdecken, Auflager und Deckenränder sowie die im genehmigten beziehungsweise gemeinsam bestätigten Projekt vorgesehene neue Stahlbeton-Verbunddecke über dem dritten Obergeschoss; Bestandswände, Pfeiler, Stürze und Auswechslungen; der zweigeschossige Dachgeschossausbau in Holz und Stahl samt Dachstuhl, Gaupen, Attika und Terrassen; Aussteifungen, Deckenscheiben, Windverbände und lückenloser Lastpfad bis in die Fundierung; hofseitige Balkone einschließlich Verankerung im bestehenden Mauerwerk; Stiegen, Podeste und Anschlüsse Neu/Alt; Feuermauern, Nachbaranschlüsse und Kamine oder Rauchfänge, soweit vom Tragwerkseingriff betroffen.</w:t>
      </w:r>
    </w:p>
    <w:p>
      <w:r>
        <w:t>(3) Position 02 umfasst sämtliche gemäß gemeinsam bestätigter Architektur- und Durchbruchsplanung vorgesehenen tragwerksrelevanten Öffnungen und Durchbrüche im Bestand einschließlich konstruktiver Sicherungen und Verstärkungen, Sturz- und Auswechslungsdimensionierung, erforderlicher Auflager, Herstellungsvorgaben und statischer Prüfung der von Haustechnik und Aufzugshersteller geforderten Aussparungen. Die Planliste benennt Lage und Bestand der Öffnungen. Eine Mengenbegrenzung wird ohne ausdrückliche beiderseitige Vereinbarung nicht angenommen.</w:t>
      </w:r>
    </w:p>
    <w:p>
      <w:r>
        <w:t>(4) Der AN schuldet ausführungsreife Bemessung und Darstellung der statisch erforderlichen Anschlüsse, Knoten, Dübel, Anker, Verbindungsmittel, Bleche und Schweißnähte. Typ oder geeignete gleichwertige Spezifikation, Größe, Anzahl, Anordnung, Rand- und Achsabstände, Verankerungslängen und erforderliche Zulassungs- beziehungsweise Produktnachweise sind eindeutig anzugeben. Anschluss-, Auflager- und Verankerungskräfte sowie Momente stehen positionsbezogen sowohl in der Berechnung als auch auf dem zugehörigen Plan.</w:t>
      </w:r>
    </w:p>
    <w:p>
      <w:r>
        <w:t>(5) Enthalten sind alle notwendigen konstruktiven Brandschutznachweise und Anforderungen der tragenden Bauteile einschließlich der maßgeblichen R-Klassen sowie erforderliche konstruktive Festlegungen zu Korrosions- und Holzschutz, Nutzungsklassen und Festigkeitsklassen. Allgemeine bauphysikalische Planung und fachfremde Gutachten bleiben bei den jeweils zuständigen Fachplanern; der AN überprüft und integriert deren für das Tragwerk relevante Vorgaben.</w:t>
      </w:r>
    </w:p>
    <w:p>
      <w:r>
        <w:t>(6) Der AN erstellt vollständige Bewehrungs- und Biegelisten, Bauteil- und Stücklisten und die für Ausschreibung und technisch prüfbare Vergleichsangebote erforderlichen tragwerksbezogenen Mengen für Beton, Bewehrungsstahl, Baustahl und Holz. Die Mengen sind mit Planstand, Einheit und nachvollziehbarem Ansatz zu kennzeichnen; sie begründen keine Garantie des tatsächlichen Lieferverbrauchs des Bauunternehmers.</w:t>
      </w:r>
    </w:p>
    <w:p>
      <w:r>
        <w:t>(7) Eingeschlossen sind mindestens zwei abgestimmte Korrekturzyklen je Plan für übliche technische Koordination innerhalb des vereinbarten Projekts, Beantwortung technischer Bieterfragen, technische Beurteilung gleichwertiger Alternativen, eine tragwerksbezogene Schnittstellenliste sowie Teilnahme an erforderlichen technischen Abstimmungen. Die Behebung eigener Fehler und Auslassungen ist unabhängig von der Anzahl bereits erfolgter Korrekturen ohne zusätzliches Honorar geschuldet.</w:t>
      </w:r>
    </w:p>
    <w:p>
      <w:r>
        <w:t>(8) Werkstatt-, Fertigungs- und Abbundpläne sowie Maschinenproduktionsdaten werden von den ausführenden Betrieben erstellt. Der AN definiert dafür die statisch und konstruktiv erforderlichen Angaben und prüft und gibt diese Pläne einschließlich Lieferantennachweisen, Fertigteil-, Dübel- und Ankernachweisen vor Ausführung fachlich frei. Seine Unterlagen müssen bereits die notwendigen Anschlussdetails und Spezifikationen enthalten; eine bloße Verlagerung der eigenen Bemessungs- oder Detailplanungspflichten auf Werkstattpläne ist ausgeschlossen.</w:t>
      </w:r>
    </w:p>
    <w:p>
      <w:r>
        <w:t>(9) Vor einem wesentlichen tragwerksbezogenen Ausführungsabschnitt müssen die vollständigen erforderlichen Berechnungen, Ausführungspläne, Detailnachweise und Freigaben vorliegen. Der AN führt eine Freigabeliste mit Planindex, Datum, fachlich freigebender Person, verbleibenden Bedingungen und Beschaupunkten. Statisch unsichere Lösungen sind ausdrücklich zu sperren; eine Freigabe darf keine fachlich unbelegte Bestätigung enthalten.</w:t>
      </w:r>
    </w:p>
    <w:p>
      <w:pPr>
        <w:pStyle w:val="Heading1"/>
      </w:pPr>
      <w:r>
        <w:t>Anlage 1A Mindestinhalt der ausführungsreifen Unterlagen</w:t>
      </w:r>
    </w:p>
    <w:tbl>
      <w:tblPr>
        <w:tblW w:type="auto" w:w="0"/>
        <w:jc w:val="center"/>
        <w:tblLayout w:type="fixed"/>
        <w:tblLook w:firstColumn="1" w:firstRow="1" w:lastColumn="0" w:lastRow="0" w:noHBand="0" w:noVBand="1" w:val="04A0"/>
      </w:tblPr>
      <w:tblGrid>
        <w:gridCol w:w="3402"/>
        <w:gridCol w:w="6350"/>
      </w:tblGrid>
      <w:tr>
        <w:trPr>
          <w:cantSplit/>
          <w:tblHeader w:val="true"/>
        </w:trPr>
        <w:tc>
          <w:tcPr>
            <w:tcW w:type="dxa" w:w="340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E6EAF0"/>
          </w:tcPr>
          <w:p>
            <w:pPr>
              <w:keepNext/>
              <w:spacing w:after="20" w:before="20" w:line="247" w:lineRule="auto"/>
              <w:jc w:val="center"/>
            </w:pPr>
            <w:r>
              <w:rPr>
                <w:rFonts w:ascii="Arial" w:hAnsi="Arial"/>
                <w:b/>
                <w:color w:val="000000"/>
                <w:sz w:val="20"/>
              </w:rPr>
              <w:t>Bereich</w:t>
            </w:r>
          </w:p>
        </w:tc>
        <w:tc>
          <w:tcPr>
            <w:tcW w:type="dxa" w:w="635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E6EAF0"/>
          </w:tcPr>
          <w:p>
            <w:pPr>
              <w:keepNext/>
              <w:spacing w:after="20" w:before="20" w:line="247" w:lineRule="auto"/>
              <w:jc w:val="center"/>
            </w:pPr>
            <w:r>
              <w:rPr>
                <w:rFonts w:ascii="Arial" w:hAnsi="Arial"/>
                <w:b/>
                <w:color w:val="000000"/>
                <w:sz w:val="20"/>
              </w:rPr>
              <w:t>Geschuldeter Mindestinhalt</w:t>
            </w:r>
          </w:p>
        </w:tc>
      </w:tr>
      <w:tr>
        <w:trPr>
          <w:cantSplit/>
        </w:trPr>
        <w:tc>
          <w:tcPr>
            <w:tcW w:type="dxa" w:w="340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Stahlbeton</w:t>
            </w:r>
          </w:p>
        </w:tc>
        <w:tc>
          <w:tcPr>
            <w:tcW w:type="dxa" w:w="635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Geometrie, Achsen und Höhen; Aussparungen und Durchbrüche; Beton- und Expositionsklassen, Betondeckung; Bewehrung mit Positionen, Durchmessern, Abständen, Verankerung und Übergreifung; Anschlussbewehrung; Biege- und Bewehrungslisten; Arbeitsfugen und Betonierabschnitte; Anschluss- und Auflagerkräfte.</w:t>
            </w:r>
          </w:p>
        </w:tc>
      </w:tr>
      <w:tr>
        <w:trPr>
          <w:cantSplit/>
        </w:trPr>
        <w:tc>
          <w:tcPr>
            <w:tcW w:type="dxa" w:w="340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Stahl</w:t>
            </w:r>
          </w:p>
        </w:tc>
        <w:tc>
          <w:tcPr>
            <w:tcW w:type="dxa" w:w="635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Profile, Güten, Längen, Positionen und Stücklisten; Knoten- und Anschlussdetails grundsätzlich 1:10 oder 1:20; Schrauben, Dübel, Anker, Bleche und Schweißnähte mit vollständiger Spezifikation; Stabilität und Aussteifung; Kraftangaben am Plan; Korrosionsschutz und konstruktiver Brandschutz; fachliche Freigabe der Werkstattpläne.</w:t>
            </w:r>
          </w:p>
        </w:tc>
      </w:tr>
      <w:tr>
        <w:trPr>
          <w:cantSplit/>
        </w:trPr>
        <w:tc>
          <w:tcPr>
            <w:tcW w:type="dxa" w:w="340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Holz</w:t>
            </w:r>
          </w:p>
        </w:tc>
        <w:tc>
          <w:tcPr>
            <w:tcW w:type="dxa" w:w="635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Querschnitte, Festigkeits- und Nutzungsklassen, Positionen und Stücklisten; Dachstuhl, Gaupen, Attika und Terrasse; Scheiben und Aussteifung; Anschlüsse mit Verbindungsmitteln und Abständen; Kraftangaben am Plan; konstruktiver Holz- und Brandschutz; fachliche Prüfung und Freigabe der Abbund- und Werkstattpläne.</w:t>
            </w:r>
          </w:p>
        </w:tc>
      </w:tr>
      <w:tr>
        <w:trPr>
          <w:cantSplit/>
        </w:trPr>
        <w:tc>
          <w:tcPr>
            <w:tcW w:type="dxa" w:w="340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Mauerwerk und Bestand</w:t>
            </w:r>
          </w:p>
        </w:tc>
        <w:tc>
          <w:tcPr>
            <w:tcW w:type="dxa" w:w="635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Nachvollziehbarer Lastpfad und Nachweise bestehender Wände, Pfeiler und Auflager; Durchbruchspläne mit Maßen, Sturz/Auswechslung, Auflagerlängen und Pressungen, Verstärkungen und Anschlussdetails; Reihenfolge, statische Bauzustände und erforderliche Abstützungen.</w:t>
            </w:r>
          </w:p>
        </w:tc>
      </w:tr>
      <w:tr>
        <w:trPr>
          <w:cantSplit/>
        </w:trPr>
        <w:tc>
          <w:tcPr>
            <w:tcW w:type="dxa" w:w="340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Gründung und Lift</w:t>
            </w:r>
          </w:p>
        </w:tc>
        <w:tc>
          <w:tcPr>
            <w:tcW w:type="dxa" w:w="635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Fundamentplatte und Anschluss an bestehende Fundamente; Unterfangungsabschnitte und Herstellung; Aufzugsgrube und Schacht über alle Geschosse; Abdichtungs- und Wasserbelastungsschnittstellen, soweit statisch relevant; abgestimmte Herstellerlasten; Schalung, Bewehrung, Details und Prüfhalte.</w:t>
            </w:r>
          </w:p>
        </w:tc>
      </w:tr>
      <w:tr>
        <w:trPr>
          <w:cantSplit/>
        </w:trPr>
        <w:tc>
          <w:tcPr>
            <w:tcW w:type="dxa" w:w="340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Baugrube und temporäre Sicherungen</w:t>
            </w:r>
          </w:p>
        </w:tc>
        <w:tc>
          <w:tcPr>
            <w:tcW w:type="dxa" w:w="635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Berechnung und Ausführungspläne des vereinbarten Verbaus, erforderlicher Aussteifungen, Pölzungen und temporärer Abstützungen einschließlich Bauzuständen, Reihenfolge, Lasten, Nachbarschnittstellen, Überwachungs- und Freigabevorgaben.</w:t>
            </w:r>
          </w:p>
        </w:tc>
      </w:tr>
      <w:tr>
        <w:trPr>
          <w:cantSplit/>
        </w:trPr>
        <w:tc>
          <w:tcPr>
            <w:tcW w:type="dxa" w:w="340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Gesamtunterlagen</w:t>
            </w:r>
          </w:p>
        </w:tc>
        <w:tc>
          <w:tcPr>
            <w:tcW w:type="dxa" w:w="635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Unterzeichnete Berechnungen, Bemessungsgrundlagen, Positions- und Lastpläne je Geschoss, Schnittstellen- und Freigabeliste, Beschauplan, Mengen, Revisionen, digitale bearbeitbare Dateien und strukturierter As-built-Tragwerksbestand.</w:t>
            </w:r>
          </w:p>
        </w:tc>
      </w:tr>
    </w:tbl>
    <w:p>
      <w:pPr>
        <w:spacing w:after="40"/>
      </w:pPr>
    </w:p>
    <w:p>
      <w:pPr>
        <w:pStyle w:val="Heading1"/>
      </w:pPr>
      <w:r>
        <w:t>4 Baugrubensicherung und Untergrundbeschau Positionen 03 und 04</w:t>
      </w:r>
    </w:p>
    <w:p>
      <w:r>
        <w:t>(1) Position 03 umfasst ein abgestimmtes statisches Baugrubensicherungs- und Unterfangungskonzept, prüffähige Berechnungen sowie ausführungsreife Pläne der für das konkrete Vorhaben erforderlichen Verbau-, Pölzungs- und Sicherungsmaßnahmen. Die statisch relevanten Bauzustände, temporären Abstützungen von Decken, Wänden und Straßenfassade und die Abbruch- und Herstellungsschritte sind so festzulegen, dass ein ausführender Fachbetrieb sichere und prüfbare Arbeitsabläufe daraus ableiten kann.</w:t>
      </w:r>
    </w:p>
    <w:p>
      <w:r>
        <w:t>(2) Die Planung behandelt Gebäudelasten, bestehende Fundamente und Leitungen, Nachbargebäude, zulässige Verformungen, erforderliche Kontrollmessungen, Grundwasserverhältnisse, Standsicherheit im Bauzustand und kritische Haltepunkte. Tatsächlich unbekannte Verhältnisse werden ausdrücklich als zu prüfen bezeichnet. Für sichere Arbeitsabläufe verantwortliche Pflichten der Baufirma bleiben unberührt; der AN darf die ihm obliegende statische Bauzustandsplanung nicht unter diesem Hinweis ausschließen.</w:t>
      </w:r>
    </w:p>
    <w:p>
      <w:r>
        <w:t>(3) Der AN überprüft die Ausführungs- und Montagevorschläge der Baufirma und Lieferanten auf Übereinstimmung mit seiner Planung. Er legt Art, Lage und Zeitpunkt statisch notwendiger Freigaben vor Fortführung eines Abschnitts fest und stimmt sie mit dem Prüfingenieur ab. Die in Anlage 2 vereinbarte Anzahl der Abnahmen bleibt maßgeblich; weitere notwendige Abnahmen werden rechtzeitig im Verfahren nach § 7 Abs. 4 eingeplant.</w:t>
      </w:r>
    </w:p>
    <w:p>
      <w:r>
        <w:t>(4) Position 04 umfasst die fachliche Untergrundbeschau vor Herstellung der Fundierung einschließlich Befund, Dokumentation der tatsächlichen Verhältnisse und Beurteilung der Übereinstimmung mit den angesetzten Grundlagen. Sie wird mit einer passenden Abnahme aus Position 05 zeitlich kombiniert, soweit dies fachlich möglich ist. Es entsteht dadurch weder ein zusätzlicher Besuchspreis noch eine zweite Zählung desselben Ortstermins.</w:t>
      </w:r>
    </w:p>
    <w:p>
      <w:r>
        <w:t>(5) Der AN empfiehlt der AG rechtzeitig Umfang und Zeitpunkt einer unabhängigen Beweissicherung von Nachbargebäuden und koordiniert die statisch relevanten Schnittstellen. Eine externe umfassende Beweissicherung und geodätische Messausführung erfolgen durch gesondert beauftragte geeignete Dritte, sofern die Parteien sie nicht ausdrücklich zusätzlich vereinbaren. Die eigene Foto- und Zustandsdokumentation nach § 2 und für das Bauwerksbuch bleibt enthalten.</w:t>
      </w:r>
    </w:p>
    <w:p>
      <w:pPr>
        <w:pStyle w:val="Heading1"/>
      </w:pPr>
      <w:r>
        <w:t>5 Prüfingenieur gemäß 127 und 128 BO für Wien Erweiterung Position 05</w:t>
      </w:r>
    </w:p>
    <w:p>
      <w:r>
        <w:t>(1) Der AN übernimmt im Rahmen der unveränderten Position 05 ausdrücklich auch die vertraglichen Prüfingenieurleistungen nach §§ 127 und 128 BO für Wien für dieses Vorhaben. Der konkrete Prüfingenieur muss als befugter Ziviltechniker oder als gerichtlich beeideter Sachverständiger für das einschlägige Fachgebiet die gesetzlichen Voraussetzungen erfüllen. Seine Stellvertretung, Funktion und Befugnis werden vor Bestellung in Anlage 4 dokumentiert. Die AG nimmt die erforderliche Bestellung beziehungsweise Bekanntgabe unter Verwendung der vom AN vorbereiteten Unterlagen vor. Eine bereits erfolgte Bestellung wird durch diesen ununterzeichneten Entwurf nicht behauptet.</w:t>
      </w:r>
    </w:p>
    <w:p>
      <w:r>
        <w:t>(2) Der AN weist vor Bestellung die für das konkrete Vorhaben erforderliche Befugnis und die gesetzliche Unabhängigkeit nach. Ob und in welcher personellen Gestaltung Tragwerksplanung und Prüfingenieurfunktion zulässig kombiniert werden können, ist für das konkrete Vorhaben vor Ausführungsbeginn schriftlich zu dokumentieren. Ist eine getrennte befugte Person rechtlich oder fachlich erforderlich, organisiert der AN diese innerhalb der vereinbarten Gesamtpauschale und bleibt für die vertragsgemäße Leistung verantwortlich. Eine interne Qualitätssicherung nach dem Vier-Augen-Prinzip ersetzt keine gesetzlich erforderliche unabhängige Person.</w:t>
      </w:r>
    </w:p>
    <w:p>
      <w:r>
        <w:t>(3) Der Prüfingenieur erstellt den an Bewilligung, Tragwerk, Bauablauf und gesetzlichen Pflichten orientierten Beschauplan. Insbesondere umfasst er Untergrundbeschau, erforderliche Bewehrungsabnahmen vor Betonage, Kontrolle der tragwerksrelevanten Eingriffe und Aussteifungen, eine vollständige Rohbaubeschau, Balkon- und Anschlussabnahmen vor Verdeckung, relevante Ausbaubeschau und Endbeschau. Die angebotenen zwölf Abnahmetermine sind die kalkulierte vertragliche Terminanzahl, kein Ausschluss notwendiger gesetzlicher oder sicherheitsrelevanter Prüfungen.</w:t>
      </w:r>
    </w:p>
    <w:p>
      <w:r>
        <w:t>(4) Enthalten sind die Prüfung der statischen Unterlagen und des Plan-Statik-Abgleichs, dokumentierte Kontrolle und Freigabe der konstruktiven Werkstattunterlagen, Prüfung der erforderlichen Material- und Liefernachweise für Beton, Bewehrungsstahl, Baustahl und Holz einschließlich notwendiger Prüf- beziehungsweise Würfelbefunde sowie die nachvollziehbare Dokumentation von Abweichungen, Auflagen und Mängelbehebung. Eigene Planungsprüfungen sind durch eine andere fachlich geeignete Person im Vier-Augen-Prinzip zu dokumentieren.</w:t>
      </w:r>
    </w:p>
    <w:p>
      <w:r>
        <w:t>(5) Zu jeder Beschau erstellt der AN einen unterzeichneten Befund mit Datum, Anlass, Bauteil, geprüftem Planstand, Feststellungen, Fotos, Freigaben, Mängeln und Fristen. Er übermittelt diesen der AG und den erforderlichen Projektbeteiligten grundsätzlich binnen drei Werktagen. Sicherheitsrelevante Abweichungen und erforderliche Anzeigen an die Behörde erfolgen unverzüglich im gesetzlich gebotenen Umfang; der AN informiert zugleich die AG, ohne gesetzliche Meldepflichten von deren Zustimmung abhängig zu machen.</w:t>
      </w:r>
    </w:p>
    <w:p>
      <w:r>
        <w:t>(6) Der AN erstellt die für seinen Fachbereich erforderlichen Befunde und Bestätigungen zur Fertigstellungsanzeige nach § 128 BO für Wien, stellt das tragwerksbezogene Nachweispaket vollständig zusammen und wirkt an einer erforderlichen fachübergreifenden Ziviltechnikerbestätigung mit. Die gesetzlich erforderliche Bestätigung nach § 128 Abs. 2 Z 1 ist von einem dafür befugten Ziviltechniker mit aufrechter Befugnis zu erstellen; eine bloße Sachverständigenbestellung als Prüfingenieur ersetzt diese gesonderte Voraussetzung nicht. Übernimmt der benannte befugte Ziviltechniker die umfassende Bestätigung, werden alle notwendigen Fremdbefunde vorher geprüft und dokumentiert. Er darf weder fachfremde Sachverhalte ohne ausreichende Grundlage bestätigen noch erforderliche eigene tragwerksbezogene Schlussnachweise unter Verweis auf Dritte auslassen. Der AN organisiert die erforderliche geeignete bestätigende Person innerhalb der vereinbarten Gesamtpauschale.</w:t>
      </w:r>
    </w:p>
    <w:p>
      <w:r>
        <w:t>(7) Enthalten sind die Abstimmung des Anzeigepakets mit Architekt, Bauführer und AG, eine konkrete Liste weiterer von anderen Fachbeteiligten vorzulegender Befunde, tragwerksbezogene Antworten und Unterlagenergänzungen für MA 37 sowie Teilnahme an einer angesetzten behördlichen Endbeschau. Die Bearbeitung erforderlicher tragwerksbezogener Rückfragen ist bis zum Abschluss des vereinbarten Pakets geschuldet und wird nicht allein durch Verbrauch der zwölf Ortstermine beendet.</w:t>
      </w:r>
    </w:p>
    <w:p>
      <w:r>
        <w:t>(8) Wird für die vereinbarten Tragwerksleistungen rechtlich oder behördlich eine zusätzliche unabhängige Prüfstatik gefordert, organisiert der AN den fachlich erforderlichen Nachweis und die Schnittstellen innerhalb der Gesamtpauschale. Nur eine nach Vertragsabschluss neu angeordnete, bisher bei fachgerechter Prüfung nicht erkennbare Prüfung außerhalb des beschriebenen Projekts kann als Änderung nach § 13 behandelt werden. Es gibt keine automatisch vom AN ausgelösten Fremdkosten.</w:t>
      </w:r>
    </w:p>
    <w:p>
      <w:pPr>
        <w:pStyle w:val="Heading1"/>
      </w:pPr>
      <w:r>
        <w:t>6 Technische Bau und Planbegleitung Position 05</w:t>
      </w:r>
    </w:p>
    <w:p>
      <w:r>
        <w:t>(1) Enthalten sind die technische Startbesprechung mit Baufirma, Bauführer, Architekt und AG, die laufende technische Abstimmung, notwendige schriftliche und telefonische Rückfragen, Beurteilung tragwerksrelevanter Ausführungsalternativen, Freigaben und Koordination der zwölf Abnahmen. Das erste Startgespräch kann mit der ersten Beschau verbunden werden; ein gewöhnliches Startgespräch oder eine digitale Besprechung ist keine zusätzliche kostenpflichtige Abnahme.</w:t>
      </w:r>
    </w:p>
    <w:p>
      <w:r>
        <w:t>(2) Der AN beantwortet vollständig konkretisierte technische Rückfragen grundsätzlich binnen zwei Werktagen; bei erkennbar komplexeren Fragen teilt er innerhalb dieser Frist den Bearbeitungsweg und einen verbindlichen Antworttermin mit. Sicherheitskritische Fragen werden unverzüglich behandelt. Für angemeldete kritische Betonage- oder Verdeckungstermine stellt er eine fachlich geeignete Verfügbarkeit innerhalb eines Werktages sicher, soweit die im abgestimmten Bauablauf erforderliche Vorankündigung eingehalten ist.</w:t>
      </w:r>
    </w:p>
    <w:p>
      <w:r>
        <w:t>(3) Der AN führt eine RFI-, Mängel-, Freigabe- und Entscheidungsübersicht mit Verantwortlichkeit und Erledigungstermin und hält sie für die AG zugänglich. Ortstermine erhalten Protokolle beziehungsweise Beschau- und Abnahmebefunde; die Vertretungsregelung darf keinen kritischen Prüfhaltepunkt unbesetzt lassen.</w:t>
      </w:r>
    </w:p>
    <w:p>
      <w:r>
        <w:t>(4) Die Leistungen sind technische Tragwerksbegleitung und Prüfingenieurleistungen. Sie ersetzen keine tägliche ÖBA, Bauführung, allgemeine Bauleitung, BauKG-Koordination oder kaufmännische Kosten- und Terminsteuerung. Diese Abgrenzung schränkt die ausdrücklich übernommenen Kontrollen, Freigaben, Warnungen und Dokumentationspflichten des AN nicht ein.</w:t>
      </w:r>
    </w:p>
    <w:p>
      <w:pPr>
        <w:pStyle w:val="Heading1"/>
      </w:pPr>
      <w:r>
        <w:t>7 Zwölf Abnahmen und zusätzliche Termine</w:t>
      </w:r>
    </w:p>
    <w:p>
      <w:r>
        <w:t>(1) Position 05 enthält zwölf vor Ort durchgeführte Abnahmen einschließlich Vorbereitung, angemessener Dauer, Reise- und Nebenkosten, Befund und nachlaufender Bearbeitung. Soweit an einem gemeinsamen Ortstermin mehrere Bauteile oder Funktionen fachgerecht behandelt werden, zählt er als ein Termin; eine parallele Wahrnehmung von statischer Begleitung und Prüfingenieurfunktion führt nicht zu doppelter Termin- oder Honorarzählung.</w:t>
      </w:r>
    </w:p>
    <w:p>
      <w:r>
        <w:t>(2) Anlage 2 enthält eine anfängliche Verteilung der zwölf Termine. Der AN überprüft diese bei D1 gegen Bauablauf und gesetzliche Prüfpflichten und passt die Verteilung mit AG und Bauführer an. Keine Phase darf ohne den dafür notwendigen Befund fortgesetzt oder verdeckt werden. Das Zählen von Terminen ersetzt keine fachgerechte Prüfung.</w:t>
      </w:r>
    </w:p>
    <w:p>
      <w:r>
        <w:t>(3) Der angebotene Preis einer über die zwölf enthaltenen Abnahmen hinausgehenden Abnahme beträgt unverändert EUR 450,00 netto, zuzüglich gesetzlicher Umsatzsteuer. Darin sind Anfahrt, Vorbereitung, Beschau, Befund und notwendige Nachbearbeitung enthalten. Ein zusätzlicher Stundensatz oder eine parallele Reise-, Schlüssel-, Protokoll- oder Verwaltungsgebühr ist für denselben Termin ausgeschlossen.</w:t>
      </w:r>
    </w:p>
    <w:p>
      <w:r>
        <w:t>(4) Erkennt der AN einen Bedarf über zwölf Termine, legt er möglichst bereits mit dem Beschauplan, jedenfalls vor dem Zusatztermin, Grund, betroffene Phase, verbleibende Terminanzahl und voraussichtliche Zusatzkosten vor. Eine vergütete zusätzliche Abnahme bedarf der vorherigen schriftlichen Freigabe der AG. Fehlt die Freigabe, darf der AN keine Kostenpflicht unterstellen; er muss die erforderliche Entscheidung unverzüglich einfordern und die Beteiligten ausdrücklich auf den Prüfhalt hinweisen. Eine notwendige Sicherheitsprüfung darf nicht als erledigt gelten, weil die Kostenfrage offen ist.</w:t>
      </w:r>
    </w:p>
    <w:p>
      <w:r>
        <w:t>(5) Wiederholungen und zusätzliche Termine aufgrund eigener Planungsfehler, unvollständiger eigener Befunde, nicht ordnungsgemäßer eigener Leistung oder vom AN zu vertretender versäumter Termine sind ohne zusätzliches Entgelt zu erbringen. Eine ausschließlich durch eine eigenmächtig nicht planmäßige Ausführung Dritter verursachte zusätzliche Beschau wird im Verfahren nach Abs. 4 behandelt. Der AN muss die Ursache und den Aufwand belegen.</w:t>
      </w:r>
    </w:p>
    <w:p>
      <w:r>
        <w:t>(6) Unaufschiebbare Maßnahmen zur Abwehr konkreter Gefahr werden unverzüglich fachgerecht ergriffen oder veranlasst und der AG sofort mitgeteilt. Eine Vergütung tatsächlich notwendiger Zusatzleistungen in diesem Sonderfall richtet sich nach der ausdrücklichen Vereinbarung und den anwendbaren gesetzlichen Regeln; ein pauschaler Automatismus zugunsten von Regie- oder Zusatzkosten ist ausgeschlossen.</w:t>
      </w:r>
    </w:p>
    <w:p>
      <w:pPr>
        <w:pStyle w:val="Heading1"/>
      </w:pPr>
      <w:r>
        <w:t>Anlage 2A Vorgeschlagene Verteilung der zwölf enthaltenen Abnahmen</w:t>
      </w:r>
    </w:p>
    <w:tbl>
      <w:tblPr>
        <w:tblW w:type="auto" w:w="0"/>
        <w:jc w:val="center"/>
        <w:tblLayout w:type="fixed"/>
        <w:tblLook w:firstColumn="1" w:firstRow="1" w:lastColumn="0" w:lastRow="0" w:noHBand="0" w:noVBand="1" w:val="04A0"/>
      </w:tblPr>
      <w:tblGrid>
        <w:gridCol w:w="680"/>
        <w:gridCol w:w="5896"/>
        <w:gridCol w:w="3175"/>
      </w:tblGrid>
      <w:tr>
        <w:trPr>
          <w:cantSplit/>
          <w:tblHeader w:val="true"/>
        </w:trPr>
        <w:tc>
          <w:tcPr>
            <w:tcW w:type="dxa" w:w="68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E6EAF0"/>
          </w:tcPr>
          <w:p>
            <w:pPr>
              <w:keepNext/>
              <w:spacing w:after="20" w:before="20" w:line="247" w:lineRule="auto"/>
              <w:jc w:val="center"/>
            </w:pPr>
            <w:r>
              <w:rPr>
                <w:rFonts w:ascii="Arial" w:hAnsi="Arial"/>
                <w:b/>
                <w:color w:val="000000"/>
                <w:sz w:val="20"/>
              </w:rPr>
              <w:t>Nr.</w:t>
            </w:r>
          </w:p>
        </w:tc>
        <w:tc>
          <w:tcPr>
            <w:tcW w:type="dxa" w:w="5896"/>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E6EAF0"/>
          </w:tcPr>
          <w:p>
            <w:pPr>
              <w:keepNext/>
              <w:spacing w:after="20" w:before="20" w:line="247" w:lineRule="auto"/>
              <w:jc w:val="center"/>
            </w:pPr>
            <w:r>
              <w:rPr>
                <w:rFonts w:ascii="Arial" w:hAnsi="Arial"/>
                <w:b/>
                <w:color w:val="000000"/>
                <w:sz w:val="20"/>
              </w:rPr>
              <w:t>Phase / Prüfhalt</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E6EAF0"/>
          </w:tcPr>
          <w:p>
            <w:pPr>
              <w:keepNext/>
              <w:spacing w:after="20" w:before="20" w:line="247" w:lineRule="auto"/>
              <w:jc w:val="center"/>
            </w:pPr>
            <w:r>
              <w:rPr>
                <w:rFonts w:ascii="Arial" w:hAnsi="Arial"/>
                <w:b/>
                <w:color w:val="000000"/>
                <w:sz w:val="20"/>
              </w:rPr>
              <w:t>Hinweis</w:t>
            </w:r>
          </w:p>
        </w:tc>
      </w:tr>
      <w:tr>
        <w:trPr>
          <w:cantSplit/>
        </w:trPr>
        <w:tc>
          <w:tcPr>
            <w:tcW w:type="dxa" w:w="68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1</w:t>
            </w:r>
          </w:p>
        </w:tc>
        <w:tc>
          <w:tcPr>
            <w:tcW w:type="dxa" w:w="5896"/>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Untergrund/Fundierung vor Herstellung</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Gemeinsam mit Position 04; Startabstimmung kombinierbar.</w:t>
            </w:r>
          </w:p>
        </w:tc>
      </w:tr>
      <w:tr>
        <w:trPr>
          <w:cantSplit/>
        </w:trPr>
        <w:tc>
          <w:tcPr>
            <w:tcW w:type="dxa" w:w="68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2</w:t>
            </w:r>
          </w:p>
        </w:tc>
        <w:tc>
          <w:tcPr>
            <w:tcW w:type="dxa" w:w="5896"/>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Bewehrung Fundamentplatte</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Vor Betonage und Verdeckung.</w:t>
            </w:r>
          </w:p>
        </w:tc>
      </w:tr>
      <w:tr>
        <w:trPr>
          <w:cantSplit/>
        </w:trPr>
        <w:tc>
          <w:tcPr>
            <w:tcW w:type="dxa" w:w="68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3</w:t>
            </w:r>
          </w:p>
        </w:tc>
        <w:tc>
          <w:tcPr>
            <w:tcW w:type="dxa" w:w="5896"/>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Aufzugsgrube und Anschluss an Fundierung</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Vor Betonage/Verdeckung.</w:t>
            </w:r>
          </w:p>
        </w:tc>
      </w:tr>
      <w:tr>
        <w:trPr>
          <w:cantSplit/>
        </w:trPr>
        <w:tc>
          <w:tcPr>
            <w:tcW w:type="dxa" w:w="68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4</w:t>
            </w:r>
          </w:p>
        </w:tc>
        <w:tc>
          <w:tcPr>
            <w:tcW w:type="dxa" w:w="5896"/>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Aufzugsschacht - erster kritischer Abschnitt</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Abschnitt an tatsächlichen Ablauf anpassen.</w:t>
            </w:r>
          </w:p>
        </w:tc>
      </w:tr>
      <w:tr>
        <w:trPr>
          <w:cantSplit/>
        </w:trPr>
        <w:tc>
          <w:tcPr>
            <w:tcW w:type="dxa" w:w="68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5</w:t>
            </w:r>
          </w:p>
        </w:tc>
        <w:tc>
          <w:tcPr>
            <w:tcW w:type="dxa" w:w="5896"/>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Aufzugsschacht - weiterer kritischer Abschnitt</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Bei Bedarf Umverteilung im abgestimmten Beschauplan.</w:t>
            </w:r>
          </w:p>
        </w:tc>
      </w:tr>
      <w:tr>
        <w:trPr>
          <w:cantSplit/>
        </w:trPr>
        <w:tc>
          <w:tcPr>
            <w:tcW w:type="dxa" w:w="68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6</w:t>
            </w:r>
          </w:p>
        </w:tc>
        <w:tc>
          <w:tcPr>
            <w:tcW w:type="dxa" w:w="5896"/>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Deckenertüchtigung und Kernbohrungen</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Tragende Verstärkungen vor Verdeckung.</w:t>
            </w:r>
          </w:p>
        </w:tc>
      </w:tr>
      <w:tr>
        <w:trPr>
          <w:cantSplit/>
        </w:trPr>
        <w:tc>
          <w:tcPr>
            <w:tcW w:type="dxa" w:w="68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7</w:t>
            </w:r>
          </w:p>
        </w:tc>
        <w:tc>
          <w:tcPr>
            <w:tcW w:type="dxa" w:w="5896"/>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Tragende Durchbrüche, Auswechslungen, Stiegen</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Bauzustand, Auflager und Neu/Alt-Anschlüsse.</w:t>
            </w:r>
          </w:p>
        </w:tc>
      </w:tr>
      <w:tr>
        <w:trPr>
          <w:cantSplit/>
        </w:trPr>
        <w:tc>
          <w:tcPr>
            <w:tcW w:type="dxa" w:w="68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8</w:t>
            </w:r>
          </w:p>
        </w:tc>
        <w:tc>
          <w:tcPr>
            <w:tcW w:type="dxa" w:w="5896"/>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Dachgeschoss-Tragwerk Holz/Stahl</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Aussteifungen und konstruktive Anschlüsse.</w:t>
            </w:r>
          </w:p>
        </w:tc>
      </w:tr>
      <w:tr>
        <w:trPr>
          <w:cantSplit/>
        </w:trPr>
        <w:tc>
          <w:tcPr>
            <w:tcW w:type="dxa" w:w="68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9</w:t>
            </w:r>
          </w:p>
        </w:tc>
        <w:tc>
          <w:tcPr>
            <w:tcW w:type="dxa" w:w="5896"/>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Balkone und Anker</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Befestigungen und Lastpfad vor Verdeckung.</w:t>
            </w:r>
          </w:p>
        </w:tc>
      </w:tr>
      <w:tr>
        <w:trPr>
          <w:cantSplit/>
        </w:trPr>
        <w:tc>
          <w:tcPr>
            <w:tcW w:type="dxa" w:w="68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10</w:t>
            </w:r>
          </w:p>
        </w:tc>
        <w:tc>
          <w:tcPr>
            <w:tcW w:type="dxa" w:w="5896"/>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Einmalige vollständige Rohbaubeschau</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Gesamttragwerk und offene Mängel.</w:t>
            </w:r>
          </w:p>
        </w:tc>
      </w:tr>
      <w:tr>
        <w:trPr>
          <w:cantSplit/>
        </w:trPr>
        <w:tc>
          <w:tcPr>
            <w:tcW w:type="dxa" w:w="68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11</w:t>
            </w:r>
          </w:p>
        </w:tc>
        <w:tc>
          <w:tcPr>
            <w:tcW w:type="dxa" w:w="5896"/>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Tragwerksrelevante Ausbaubeschau</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Brandschutz, verdeckte Anschlüsse und Nachweise.</w:t>
            </w:r>
          </w:p>
        </w:tc>
      </w:tr>
      <w:tr>
        <w:trPr>
          <w:cantSplit/>
        </w:trPr>
        <w:tc>
          <w:tcPr>
            <w:tcW w:type="dxa" w:w="68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12</w:t>
            </w:r>
          </w:p>
        </w:tc>
        <w:tc>
          <w:tcPr>
            <w:tcW w:type="dxa" w:w="5896"/>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Endbeschau / gegebenenfalls behördliche Endbeschau</w:t>
            </w:r>
          </w:p>
        </w:tc>
        <w:tc>
          <w:tcPr>
            <w:tcW w:type="dxa" w:w="317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Vor tragwerksbezogener Fertigstellungsbestätigung.</w:t>
            </w:r>
          </w:p>
        </w:tc>
      </w:tr>
    </w:tbl>
    <w:p>
      <w:pPr>
        <w:spacing w:after="40"/>
      </w:pPr>
    </w:p>
    <w:p>
      <w:pPr>
        <w:pStyle w:val="Heading1"/>
      </w:pPr>
      <w:r>
        <w:t>8 Schlussunterlagen und Bauwerksbuch Erweiterung Position 06</w:t>
      </w:r>
    </w:p>
    <w:p>
      <w:r>
        <w:t>(1) Position 06 umfasst die vollständigen Schlussunterlagen sowie ausdrücklich die erstmalige Erstellung beziehungsweise fachgerechte Vervollständigung des Bauwerksbuchs für das gesamte bestehende Wohngebäude und alle durch das Vorhaben neuen Bauteile und Eingriffe. Ein Bauwerksbuch nur für den Dachgeschossausbau oder nur für neu errichtete Bauteile genügt nicht. Der AN ermittelt und dokumentiert die im konkreten Fall erforderliche gesetzliche Grundlage, den Umfang, die befugte erstellende Person und die zeitlich maßgeblichen Pflichten nach § 128a BO für Wien in der anwendbaren Fassung. Das tatsächliche Errichtungsjahr wird anhand geeigneter Unterlagen festgestellt; eine bestimmte Übergangsfrist wird nicht allein aus der Bezeichnung Gründerzeithaus abgeleitet.</w:t>
      </w:r>
    </w:p>
    <w:p>
      <w:r>
        <w:t>(1a) Die für Bauwerksbucherstellung und gesetzliche Erstprüfung benannten Personen müssen jeweils nach § 128a BO für Wien in der maßgeblichen Fassung befugt sein. Die dort erforderliche Unabhängigkeit von Bauwerber, Bauführer und Eigentümer sowie von relevanten Dienst- und Organschaftsverhältnissen wird vor Übernahme der jeweiligen Funktion schriftlich nachgewiesen. Der AN benennt sowohl die erstellende als auch die zur Erstprüfung verantwortliche Person und dokumentiert die gesetzlich zulässige personelle Gestaltung. Eine interne Qualitätssicherung ersetzt keine gesetzlichen Befugnis- oder Unabhängigkeitsvoraussetzungen. Erforderliche geeignete unabhängige Personen werden innerhalb der vereinbarten Gesamtpauschale organisiert.</w:t>
      </w:r>
    </w:p>
    <w:p>
      <w:r>
        <w:t>(2) Das Bauwerksbuch enthält die gesetzlich erforderlichen und zusätzlich vereinbarten Inhalte: Gebäudedaten, Eigentümer- und Objektzuordnung, bewilligte und relevante historische Planstände, vorhandene Bewilligungen und die gesetzlich erforderliche Dokumentation einschlägiger Änderungen beziehungsweise Maßnahmen, Beschreibung des bestehenden und neuen Tragwerks, verwendete Grundlagen, erforderliche Erstprüfung mit Datum und unterzeichnetem Befund, Zustands- und Fotodokumentation mit statisch relevanten Rissen und Schäden, festgestellte Mängel mit Priorität, Behebungsmaßnahmen und Fristen, Termin und Umfang der nächsten Prüfung, regelmäßige Prüf- und Instandhaltungsintervalle, Verantwortlichkeiten, praktische Prüfhinweise sowie nachvollziehbare Dokumenten- und Planverweise mit Ablageorten. Im Bauwerksbuch sind außerdem die Voraussetzungen und die erforderliche fachliche Qualifikation der für künftige Überprüfungen zuständigen Personen nach § 128a Abs. 4 Z 4 BO für Wien festzuhalten.</w:t>
      </w:r>
    </w:p>
    <w:p>
      <w:r>
        <w:t>(2a) Der AN übernimmt in das Bauwerksbuch die nach § 128a Abs. 4 Z 7 erforderliche Dokumentation der einschlägigen Maßnahmen und Änderungen gemäß § 118c Abs. 2 und 7. Die AG und zuständigen Energie- beziehungsweise Haustechnikfachplaner liefern die fachfremden Nachweise; der AN fordert sie konkret an, ordnet sie zu und dokumentiert fehlende Grundlagen. Energetische Systemplanung oder Ausführung solcher Maßnahmen werden dadurch nicht beauftragt; tragwerksbezogene Schnittstellen bleiben geschuldet.</w:t>
      </w:r>
    </w:p>
    <w:p>
      <w:r>
        <w:t>(3) Die neu eingetragenen Bauteile, Verstärkungen und Anschlüsse sind mit den Ausführungsbefunden und As-built-Unterlagen verknüpft. Unzugängliche oder ohne zusätzliche Untersuchung nicht sicher beurteilbare Bauteile werden ausdrücklich mit Grenze der Aussage und empfohlenem weiteren Vorgehen bezeichnet. Eine unbescheinigte Mangelfreiheit oder eine fehlende Prüfung darf nicht als abgeschlossene gesetzliche Erstprüfung ausgegeben werden.</w:t>
      </w:r>
    </w:p>
    <w:p>
      <w:r>
        <w:t>(4) Der AN organisiert die gesetzlich erforderliche Meldung, Registrierung oder Vorlage des Bauwerksbuchs beziehungsweise seiner Erstellung gegenüber MA 37 oder der zuständigen Stelle, soweit sie für das konkrete Gebäude verlangt wird. Er liefert die tatsächlich erforderliche Registrierungs- beziehungsweise Übermittlungsbestätigung oder dokumentiert schriftlich, warum eine solche derzeit nicht vorgeschrieben ist. Die bloße Abgabe eines PDFs erfüllt keine zusätzlich bestehende Meldepflicht.</w:t>
      </w:r>
    </w:p>
    <w:p>
      <w:r>
        <w:t>(5) Die Bauwerksbuch-Vorfassung ist spätestens zwanzig Werktage vor der geplanten Fertigstellungsanzeige vorzulegen, die für diesen Zeitpunkt vollständige, unterzeichnete Fassung mit erforderlicher Registrierung spätestens zehn Werktage vorher. Danach tatsächlich erst anfallende Endbefunde werden unverzüglich, spätestens fünf Werktage nach Vorliegen, eingearbeitet und erneut übergeben. Eine für den Bestand früher eintretende gesetzliche Frist hat Vorrang und ist in Anlage 2 ausdrücklich zu berücksichtigen. Bereits bekannte gesetzliche Termine sind vor Unterzeichnung zu prüfen; dieser Vertrag verschiebt sie nicht.</w:t>
      </w:r>
    </w:p>
    <w:p>
      <w:r>
        <w:t>(6) Position 06 umfasst ferner den strukturierten Schlussordner: letzte unterzeichnete Berechnungen, Ausführungs- und As-built-Tragwerkspläne, offene und erledigte Mängel, Prüf- und Materialbefunde, Freigaben, Änderungen, Schlussbestätigungen, Bauwerksbuch, Plan- und Dokumentenverzeichnis sowie die vereinbarten bearbeitbaren Ausgangsdateien. Die Architektin oder der Architekt bleibt für die vollständigen allgemeinen architektonischen Bestandspläne zuständig; der AN erstellt und liefert den vollständigen Tragwerksanteil und stimmt ihn damit ab.</w:t>
      </w:r>
    </w:p>
    <w:p>
      <w:r>
        <w:t>(7) Alle vereinbarten Bauwerksbuch- und Schlussarbeiten sind Bestandteil der unveränderten Gesamtpauschale. Ein separater historisch angebotener Bauwerksbuchpreis besteht nicht. Regelmäßige Folgeprüfungen nach Abschluss des Vertrages sind nicht Teil der erstmaligen Erstellung, bleiben aber im Bauwerksbuch als zukünftige Eigentümerpflichten transparent beschrieben.</w:t>
      </w:r>
    </w:p>
    <w:p>
      <w:r>
        <w:t>(8) Die Bewertung, Dokumentation und Erstellung eines nachvollziehbaren Mängelbehebungsplans für vorhandene Gebäudedefekte sind Teil des Bauwerksbuchauftrags. Eine körperliche Reparatur oder Sanierung historischer Schäden durch den AN wird damit nicht beauftragt; sie ist von der AG durch geeignete Ausführende zu veranlassen. Der AN bezeichnet notwendige Maßnahmen und sichere Fristen und erfüllt einschlägige Warn- und Meldepflichten. Das vollständige Bauwerksbuch wird elektronisch als unterzeichnetes PDF und in einem im vereinbarten Zweck bearbeitbaren Format mit verknüpfter Dokumentenstruktur übergeben; ein gegebenenfalls gesetzlich erforderliches Format hat Vorrang.</w:t>
      </w:r>
    </w:p>
    <w:p>
      <w:pPr>
        <w:pStyle w:val="Heading1"/>
      </w:pPr>
      <w:r>
        <w:t>9 Dateiformate Revisionen und Nutzungsrechte</w:t>
      </w:r>
    </w:p>
    <w:p>
      <w:r>
        <w:t>(1) Jede freigegebene Revision wird als lesbares, maßstäbliches PDF mit erforderlicher fachlicher Unterschrift sowie als bearbeitbare DWG- und DXF-Datei geliefert. DWG ist mit AutoCAD 2018 oder einem gemeinsam vereinbarten kompatiblen älteren Format verwendbar. Das vereinbarte Tragwerksmodell beziehungsweise ein vollständiger geeigneter IFC-Export wird in IFC2x3 oder IFC4 geliefert. Die Berechnung wird als unterzeichnetes PDF und mit den für fachkundige Weiterbearbeitung erforderlichen nativen Eingabe- beziehungsweise Modelldateien einschließlich Bezeichnung von Programm und Version übergeben.</w:t>
      </w:r>
    </w:p>
    <w:p>
      <w:r>
        <w:t>(2) Mengen-, Bauteil-, Stück-, Biege- und Bewehrungslisten werden im PDF und bearbeitbar als Excel beziehungsweise CSV übergeben. Pläne verwenden klare Gewerke- und Bauteilstruktur, eindeutige Positionstexte, Achsen, Höhen und Maße; Führungspläne grundsätzlich 1:50, erforderliche Details 1:10 beziehungsweise 1:20 oder einen gleichwertig ausreichend lesbaren Maßstab. Maschinenfertigungsdaten BTL/BVX oder NC/DSTV bleiben bei den ausführenden Betrieben, soweit nicht ausdrücklich anders vereinbart.</w:t>
      </w:r>
    </w:p>
    <w:p>
      <w:r>
        <w:t>(3) Der AN liefert fortlaufend ein Plan- und Dokumentenverzeichnis mit Index, Datum, Status und nachvollziehbarer Änderungshistorie. Entwürfe, Prüffassungen, Freigaben und historische ersetzte Versionen sind unterscheidbar. Endfassungen werden in einem konsistenten Downloadpaket übergeben; passwort- oder lizenzbedingte Nutzungssperren werden im projektbezogen erforderlichen Umfang ausgeschlossen. Fremdlizenzen und unvermeidbare technische Beschränkungen sind vor Unterzeichnung offenzulegen.</w:t>
      </w:r>
    </w:p>
    <w:p>
      <w:r>
        <w:t>(4) Im Pauschalhonorar räumt der AN der AG an den vertragsgemäß erstellten und entsprechend bezahlten Unterlagen ein zeitlich und räumlich unbeschränktes, unwiderrufliches und übertragbares projektbezogenes Nutzungsrecht ein. Es umfasst Ausführung, Fertigstellung, Betrieb, Wartung, Umbau, Reparatur, Vervielfältigung, behördliche Vorlage, Weitergabe an Eigentümer, Erwerber, Behörden und Projektbeteiligte sowie Bearbeitung und Fortführung durch fachlich befugte Dritte. Eine erneute Zustimmung des AN oder ein weiteres Entgelt für diese Zwecke ist nicht erforderlich.</w:t>
      </w:r>
    </w:p>
    <w:p>
      <w:r>
        <w:t>(5) Das Urheberrecht und gesetzlich unverzichtbare Urheberpersönlichkeitsrechte bleiben unberührt. Der AN stellt sicher, dass Rechte seiner Mitarbeitenden und Subunternehmer die vereinbarte projektbezogene Nutzung nicht beschränken. Änderungen durch Dritte werden mit eigener fachlicher Verantwortlichkeit, Änderungskennzeichnung und gegebenenfalls neuen Unterschriften vorgenommen; der AN haftet nicht für eigenständige, nicht von ihm verursachte Fehler solcher Änderungen. Die ursprünglichen Dateien bleiben als Historie erhalten.</w:t>
      </w:r>
    </w:p>
    <w:p>
      <w:r>
        <w:t>(6) Für rechtmäßig bereits gelieferte und bezahlte Teile gilt das Nutzungsrecht auch bei vorzeitiger Vertragsbeendigung. Der AN übergibt zu diesem Zeitpunkt den nachvollziehbaren Bearbeitungsstand, damit ein befugter Nachfolger das Vorhaben sicher fortsetzen kann. Nicht bestrittene fällige Vergütungen und eine gegebenenfalls gesetzlich berechtigte Zurückbehaltung werden gesondert behandelt; ein pauschales Verbot der Fortführung oder Änderung des Projekts ist nicht vereinbart.</w:t>
      </w:r>
    </w:p>
    <w:p>
      <w:pPr>
        <w:pStyle w:val="Heading1"/>
      </w:pPr>
      <w:r>
        <w:t>10 Beginn Ausführungsdauer und Lieferfristen</w:t>
      </w:r>
    </w:p>
    <w:p>
      <w:r>
        <w:t>(1) Das PECH-Angebot enthält keine feste Gesamtbearbeitungsdauer und keinen verbindlichen Beginn an einem bestimmten Kalenderdatum. Es sieht Beginn frühestens nach schriftlicher Auftragserteilung und Vorliegen erforderlicher Unterlagen sowie eine Leistungsfrist in Absprache mit der AG vor. Diese Ausgangslage wird beibehalten; nachfolgende relative Termine sind neue Vereinbarungsvorschläge der AG und keine bereits abgegebenen PECH-Zusagen.</w:t>
      </w:r>
    </w:p>
    <w:p>
      <w:r>
        <w:t>(2) T0 ist der von beiden Parteien in Anlage 2 bestätigte tatsächliche Bearbeitungsbeginn nach rechtswirksamer Unterzeichnung beziehungsweise schriftlicher Beauftragung auf dieser Vertragsgrundlage und Zugang der konkret als für den Beginn erforderlich bestätigten Unterlagen. Die bloße Erstellung dieses Entwurfs setzt keine Frist in Gang. Der AN bestätigt T0 und seine rechtzeitige fachliche Kapazität schriftlich; maßgebliche fehlende Voraussetzungen benennt er rechtzeitig gemäß § 2.</w:t>
      </w:r>
    </w:p>
    <w:p>
      <w:r>
        <w:t>(3) Der AN startet die Portal- und Grundlagenprüfung binnen drei Werktagen ab Zugang und führt die gemeinsame Objektbegehung grundsätzlich binnen zehn Werktagen ab T0 durch. Das vollständige Dossier D1 ist spätestens drei Kalenderwochen nach T0 vorzulegen. Die Parteien bestätigen innerhalb von fünf Werktagen nach T0 die konkreten Liefertermine für D2 bis D5, Öffnungsplanung, Baugrube und Beschauen anhand des abgestimmten Bauablaufs in Anlage 2.</w:t>
      </w:r>
    </w:p>
    <w:p>
      <w:r>
        <w:t>(4) Jeder Dossiertermin muss genügend Zeit für mindestens zehn Werktage Vollständigkeitsprüfung und die erforderliche Korrektur vor Bestellung, Herstellung oder Verdeckung des betreffenden Bauteils vorsehen. Die Unterlagen zur Fundierung, Unterfangung und Baugrube liegen vor Beginn dieser Arbeiten vor; die übrigen vollständigen ausführungsreifen Unterlagen jeweils vor dem zugehörigen Bauabschnitt. Ohne Einigung über diesen belastbaren Lieferplan wird kein fiktiver fixer Kalendertermin angenommen und kein technisch unvorbereiteter Bauabschnitt freigegeben.</w:t>
      </w:r>
    </w:p>
    <w:p>
      <w:r>
        <w:t>(5) Als AG-Vorschlag wird die technische Begleitung für eine reguläre Bauausführung von zwölf Monaten ab vereinbartem tatsächlichem Baustart kalkuliert. Eine Verlängerung bis insgesamt fünfzehn Monate verändert die Pauschale nicht, sofern der vereinbarte Projektumfang nicht erweitert wird und die Zahl der enthaltenen zwölf Abnahmen unverändert bleibt. Der AN hat keine zwölfmonatige Dauer zugesagt; diese Zeitspanne wird erst durch Annahme dieses Vertrages verbindlich. Zusätzliche Abnahmen werden ausschließlich nach § 7 behandelt. Eigene Verzögerungen und notwendige Fehlerbehebung berechtigen nicht zu einer Zusatzvergütung.</w:t>
      </w:r>
    </w:p>
    <w:p>
      <w:r>
        <w:t>(6) Der AN meldet bis zur vollständigen Planübergabe wöchentlich Bearbeitungsstand, nächste Lieferung, Hindernisse und notwendige AG-Entscheidungen. Danach erfolgen Statusmeldungen bei relevanten Änderungen beziehungsweise vor jedem Prüfhalt. Endtermine und gesetzliche Bauwerksbuchfristen werden in Anlage 2 gemeinsam bestätigt; sie gelten unabhängig davon, ob reguläre Folgetermine noch offen sind.</w:t>
      </w:r>
    </w:p>
    <w:p>
      <w:r>
        <w:t>(7) Nicht vom AN zu vertretende tatsächliche Hindernisse verlängern die davon nachweisbar betroffenen Bearbeitungsfristen nur um ihre belegte Wirkung. Der AN zeigt sie unverzüglich mit Ursache, betroffenem Termin, zumutbaren Gegenmaßnahmen und neuer Terminprognose an. Ein dokumentierter Terminaufschub bewirkt keine automatische Entgeltsteigerung, Stehzeit- oder Regieforderung. Zusatzkosten erfordern die Voraussetzungen und Freigabe nach § 13; gesetzlich unabdingbare Ansprüche bleiben unberührt.</w:t>
      </w:r>
    </w:p>
    <w:p>
      <w:pPr>
        <w:pStyle w:val="Heading1"/>
      </w:pPr>
      <w:r>
        <w:t>Anlage 2B Relativer Terminplan vor Unterzeichnung mit realen Daten ergänzen</w:t>
      </w:r>
    </w:p>
    <w:tbl>
      <w:tblPr>
        <w:tblW w:type="auto" w:w="0"/>
        <w:jc w:val="center"/>
        <w:tblLayout w:type="fixed"/>
        <w:tblLook w:firstColumn="1" w:firstRow="1" w:lastColumn="0" w:lastRow="0" w:noHBand="0" w:noVBand="1" w:val="04A0"/>
      </w:tblPr>
      <w:tblGrid>
        <w:gridCol w:w="2721"/>
        <w:gridCol w:w="4762"/>
        <w:gridCol w:w="2268"/>
      </w:tblGrid>
      <w:tr>
        <w:trPr>
          <w:cantSplit/>
          <w:tblHeader w:val="true"/>
        </w:trPr>
        <w:tc>
          <w:tcPr>
            <w:tcW w:type="dxa" w:w="272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E6EAF0"/>
          </w:tcPr>
          <w:p>
            <w:pPr>
              <w:keepNext/>
              <w:spacing w:after="20" w:before="20" w:line="247" w:lineRule="auto"/>
              <w:jc w:val="center"/>
            </w:pPr>
            <w:r>
              <w:rPr>
                <w:rFonts w:ascii="Arial" w:hAnsi="Arial"/>
                <w:b/>
                <w:color w:val="000000"/>
                <w:sz w:val="20"/>
              </w:rPr>
              <w:t>Meilenstein</w:t>
            </w:r>
          </w:p>
        </w:tc>
        <w:tc>
          <w:tcPr>
            <w:tcW w:type="dxa" w:w="476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E6EAF0"/>
          </w:tcPr>
          <w:p>
            <w:pPr>
              <w:keepNext/>
              <w:spacing w:after="20" w:before="20" w:line="247" w:lineRule="auto"/>
              <w:jc w:val="center"/>
            </w:pPr>
            <w:r>
              <w:rPr>
                <w:rFonts w:ascii="Arial" w:hAnsi="Arial"/>
                <w:b/>
                <w:color w:val="000000"/>
                <w:sz w:val="20"/>
              </w:rPr>
              <w:t>Relative Frist / Voraussetzung</w:t>
            </w:r>
          </w:p>
        </w:tc>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E6EAF0"/>
          </w:tcPr>
          <w:p>
            <w:pPr>
              <w:keepNext/>
              <w:spacing w:after="20" w:before="20" w:line="247" w:lineRule="auto"/>
              <w:jc w:val="center"/>
            </w:pPr>
            <w:r>
              <w:rPr>
                <w:rFonts w:ascii="Arial" w:hAnsi="Arial"/>
                <w:b/>
                <w:color w:val="000000"/>
                <w:sz w:val="20"/>
              </w:rPr>
              <w:t>Zu bestätigendes Datum</w:t>
            </w:r>
          </w:p>
        </w:tc>
      </w:tr>
      <w:tr>
        <w:trPr>
          <w:cantSplit/>
        </w:trPr>
        <w:tc>
          <w:tcPr>
            <w:tcW w:type="dxa" w:w="272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Unterzeichnung und erforderliche Beauftragung</w:t>
            </w:r>
          </w:p>
        </w:tc>
        <w:tc>
          <w:tcPr>
            <w:tcW w:type="dxa" w:w="476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Beiderseitige rechtswirksame Zeichnung; keine Rückdatierung</w:t>
            </w:r>
          </w:p>
        </w:tc>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[YYYY.MM.DD]</w:t>
            </w:r>
          </w:p>
        </w:tc>
      </w:tr>
      <w:tr>
        <w:trPr>
          <w:cantSplit/>
        </w:trPr>
        <w:tc>
          <w:tcPr>
            <w:tcW w:type="dxa" w:w="272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T0 Bearbeitungsbeginn</w:t>
            </w:r>
          </w:p>
        </w:tc>
        <w:tc>
          <w:tcPr>
            <w:tcW w:type="dxa" w:w="476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Schriftliche Beauftragung und erforderliche konkret benannte Unterlagen</w:t>
            </w:r>
          </w:p>
        </w:tc>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[YYYY.MM.DD]</w:t>
            </w:r>
          </w:p>
        </w:tc>
      </w:tr>
      <w:tr>
        <w:trPr>
          <w:cantSplit/>
        </w:trPr>
        <w:tc>
          <w:tcPr>
            <w:tcW w:type="dxa" w:w="272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Grundlagenprüfung und Planliste</w:t>
            </w:r>
          </w:p>
        </w:tc>
        <w:tc>
          <w:tcPr>
            <w:tcW w:type="dxa" w:w="476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Binnen 3 Werktagen nach Unterlagenzugang; fehlende Voraussetzungen konkret benennen</w:t>
            </w:r>
          </w:p>
        </w:tc>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[YYYY.MM.DD]</w:t>
            </w:r>
          </w:p>
        </w:tc>
      </w:tr>
      <w:tr>
        <w:trPr>
          <w:cantSplit/>
        </w:trPr>
        <w:tc>
          <w:tcPr>
            <w:tcW w:type="dxa" w:w="272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Verbindlicher Liefer- und Beschauplan</w:t>
            </w:r>
          </w:p>
        </w:tc>
        <w:tc>
          <w:tcPr>
            <w:tcW w:type="dxa" w:w="476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Binnen 5 Werktagen nach T0 gemeinsam bestätigen</w:t>
            </w:r>
          </w:p>
        </w:tc>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[YYYY.MM.DD]</w:t>
            </w:r>
          </w:p>
        </w:tc>
      </w:tr>
      <w:tr>
        <w:trPr>
          <w:cantSplit/>
        </w:trPr>
        <w:tc>
          <w:tcPr>
            <w:tcW w:type="dxa" w:w="272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Objektbegehung</w:t>
            </w:r>
          </w:p>
        </w:tc>
        <w:tc>
          <w:tcPr>
            <w:tcW w:type="dxa" w:w="476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Grundsätzlich binnen 10 Werktagen nach T0</w:t>
            </w:r>
          </w:p>
        </w:tc>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[YYYY.MM.DD]</w:t>
            </w:r>
          </w:p>
        </w:tc>
      </w:tr>
      <w:tr>
        <w:trPr>
          <w:cantSplit/>
        </w:trPr>
        <w:tc>
          <w:tcPr>
            <w:tcW w:type="dxa" w:w="272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D1 Grundlagen</w:t>
            </w:r>
          </w:p>
        </w:tc>
        <w:tc>
          <w:tcPr>
            <w:tcW w:type="dxa" w:w="476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Spätestens 3 Kalenderwochen nach T0</w:t>
            </w:r>
          </w:p>
        </w:tc>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[YYYY.MM.DD]</w:t>
            </w:r>
          </w:p>
        </w:tc>
      </w:tr>
      <w:tr>
        <w:trPr>
          <w:cantSplit/>
        </w:trPr>
        <w:tc>
          <w:tcPr>
            <w:tcW w:type="dxa" w:w="272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D2 Fundierung/Lift und Baugrubensicherung</w:t>
            </w:r>
          </w:p>
        </w:tc>
        <w:tc>
          <w:tcPr>
            <w:tcW w:type="dxa" w:w="476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Vor Beginn der Fundierungs- und Sicherungsarbeiten; Prüf- und Korrekturzeit einplanen</w:t>
            </w:r>
          </w:p>
        </w:tc>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[YYYY.MM.DD]</w:t>
            </w:r>
          </w:p>
        </w:tc>
      </w:tr>
      <w:tr>
        <w:trPr>
          <w:cantSplit/>
        </w:trPr>
        <w:tc>
          <w:tcPr>
            <w:tcW w:type="dxa" w:w="272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D3 Bestand/Durchbrüche</w:t>
            </w:r>
          </w:p>
        </w:tc>
        <w:tc>
          <w:tcPr>
            <w:tcW w:type="dxa" w:w="476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Vor zugehörigen Eingriffen und Bestellung; Prüf- und Korrekturzeit einplanen</w:t>
            </w:r>
          </w:p>
        </w:tc>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[YYYY.MM.DD]</w:t>
            </w:r>
          </w:p>
        </w:tc>
      </w:tr>
      <w:tr>
        <w:trPr>
          <w:cantSplit/>
        </w:trPr>
        <w:tc>
          <w:tcPr>
            <w:tcW w:type="dxa" w:w="272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D4 Dachgeschoss Holz/Stahl</w:t>
            </w:r>
          </w:p>
        </w:tc>
        <w:tc>
          <w:tcPr>
            <w:tcW w:type="dxa" w:w="476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Vor Bestellung, Fertigung und Montage; Werkstattfreigaben gesondert einplanen</w:t>
            </w:r>
          </w:p>
        </w:tc>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[YYYY.MM.DD]</w:t>
            </w:r>
          </w:p>
        </w:tc>
      </w:tr>
      <w:tr>
        <w:trPr>
          <w:cantSplit/>
        </w:trPr>
        <w:tc>
          <w:tcPr>
            <w:tcW w:type="dxa" w:w="272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D5 Balkone / Stiegen / Resttragwerk</w:t>
            </w:r>
          </w:p>
        </w:tc>
        <w:tc>
          <w:tcPr>
            <w:tcW w:type="dxa" w:w="476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Vor jeweiliger Ausführung; Plan-Statik-Abgleich vollständig</w:t>
            </w:r>
          </w:p>
        </w:tc>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[YYYY.MM.DD]</w:t>
            </w:r>
          </w:p>
        </w:tc>
      </w:tr>
      <w:tr>
        <w:trPr>
          <w:cantSplit/>
        </w:trPr>
        <w:tc>
          <w:tcPr>
            <w:tcW w:type="dxa" w:w="272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Bestellung/Bekanntgabe Prüfingenieur</w:t>
            </w:r>
          </w:p>
        </w:tc>
        <w:tc>
          <w:tcPr>
            <w:tcW w:type="dxa" w:w="476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Rechtzeitig vor Baubeginn und gesetzlich erforderlicher Beschau</w:t>
            </w:r>
          </w:p>
        </w:tc>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[YYYY.MM.DD]</w:t>
            </w:r>
          </w:p>
        </w:tc>
      </w:tr>
      <w:tr>
        <w:trPr>
          <w:cantSplit/>
        </w:trPr>
        <w:tc>
          <w:tcPr>
            <w:tcW w:type="dxa" w:w="272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Bauausführung/Begleitung</w:t>
            </w:r>
          </w:p>
        </w:tc>
        <w:tc>
          <w:tcPr>
            <w:tcW w:type="dxa" w:w="476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AG-Vorschlag 12 Monate ab tatsächlichem Baustart; bedingte Verlängerung bis 15 Monate</w:t>
            </w:r>
          </w:p>
        </w:tc>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[YYYY.MM.DD bis YYYY.MM.DD]</w:t>
            </w:r>
          </w:p>
        </w:tc>
      </w:tr>
      <w:tr>
        <w:trPr>
          <w:cantSplit/>
        </w:trPr>
        <w:tc>
          <w:tcPr>
            <w:tcW w:type="dxa" w:w="272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Bauwerksbuch-Vorfassung</w:t>
            </w:r>
          </w:p>
        </w:tc>
        <w:tc>
          <w:tcPr>
            <w:tcW w:type="dxa" w:w="476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Spätestens 20 Werktage vor Fertigstellungsanzeige; früheres gesetzliches Datum geht vor</w:t>
            </w:r>
          </w:p>
        </w:tc>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[YYYY.MM.DD]</w:t>
            </w:r>
          </w:p>
        </w:tc>
      </w:tr>
      <w:tr>
        <w:trPr>
          <w:cantSplit/>
        </w:trPr>
        <w:tc>
          <w:tcPr>
            <w:tcW w:type="dxa" w:w="272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Bauwerksbuch vollständig/Registrierung</w:t>
            </w:r>
          </w:p>
        </w:tc>
        <w:tc>
          <w:tcPr>
            <w:tcW w:type="dxa" w:w="476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Spätestens 10 Werktage vor Anzeige; spätere Endbefunde binnen 5 Werktagen nach Vorliegen nachtragen</w:t>
            </w:r>
          </w:p>
        </w:tc>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[YYYY.MM.DD]</w:t>
            </w:r>
          </w:p>
        </w:tc>
      </w:tr>
      <w:tr>
        <w:trPr>
          <w:cantSplit/>
        </w:trPr>
        <w:tc>
          <w:tcPr>
            <w:tcW w:type="dxa" w:w="272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Schlussordner und § 128 Nachweise</w:t>
            </w:r>
          </w:p>
        </w:tc>
        <w:tc>
          <w:tcPr>
            <w:tcW w:type="dxa" w:w="476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Vor tragwerksbezogener Fertigstellungsbestätigung; tatsächliche Endbefunde einbeziehen</w:t>
            </w:r>
          </w:p>
        </w:tc>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[YYYY.MM.DD]</w:t>
            </w:r>
          </w:p>
        </w:tc>
      </w:tr>
    </w:tbl>
    <w:p>
      <w:pPr>
        <w:spacing w:after="40"/>
      </w:pPr>
    </w:p>
    <w:p>
      <w:pPr>
        <w:pStyle w:val="Heading1"/>
      </w:pPr>
      <w:r>
        <w:t>11 Honorar Festpreis und unveränderte Angebotsbeträge</w:t>
      </w:r>
    </w:p>
    <w:p>
      <w:r>
        <w:t>(1) Die folgenden sechs ursprünglichen Angebotsbeträge bleiben als Pauschalen unverändert erhalten. Die gesamte vereinbarte Leistung einschließlich der ausdrücklich beschriebenen Erweiterungen kostet EUR 69.300,00 netto. Bei der angebotenen Umsatzsteuer von 20% betragen die Umsatzsteuer EUR 13.860,00 und das Gesamthonorar EUR 83.160,00 brutto. Die tatsächlich gesetzlich geschuldete Umsatzsteuer ist gesondert auszuweisen.</w:t>
      </w:r>
    </w:p>
    <w:p>
      <w:r>
        <w:t>(2) Die Pauschalen decken die im Vertrag ausdrücklich beschriebenen Leistungen, übliche projektbezogene Koordination, Reise- und Nebenkosten, digitale Übergaben, angemessene interne Qualitätssicherung, notwendige Subunternehmerleistungen und vertragsgemäße Nachbesserung. Der neue Umfang erfordert die ausdrückliche Annahme durch den AN; bis dahin ist keine zusätzliche Leistung als bereits zu diesen Preisen angeboten anzusehen.</w:t>
      </w:r>
    </w:p>
    <w:p>
      <w:r>
        <w:t>(3) Innerhalb des vereinbarten Projektumfangs und des Zeitrahmens nach § 10 gilt ein Festpreis ohne ZT-Indexierung, Wertsicherung oder automatische Anpassung wegen Inflation, allgemeiner Kostensteigerung oder geschätztem Mehrzeitaufwand. Der AN prüft seine Kalkulation vor Unterzeichnung. Die im Originalangebot enthaltene Indexklausel wird ausdrücklich ersetzt.</w:t>
      </w:r>
    </w:p>
    <w:p>
      <w:r>
        <w:t>(4) Die angebotenen Regiesätze EUR 195,00/h für Ziviltechniker, EUR 145,00/h für Projektleiter, EUR 125,00/h für Techniker und EUR 95,00/h für technische Zeichner werden als Obergrenzen nur für ausdrücklich schriftlich beauftragte, tatsächlich zusätzliche Regieleistungen übernommen. Sie gelten nicht automatisch für den vereinbarten Grundumfang, normale Rückfragen, eigene Nachbesserung oder unbelegte Stehzeiten. Eine Freigabe benennt Rolle, Stundenobergrenze, Aufgabe, Kosten und Terminfolgen; Belege sind der Rechnung beizufügen.</w:t>
      </w:r>
    </w:p>
    <w:p>
      <w:r>
        <w:t>(5) Jede zusätzliche Abnahme außerhalb der zwölf enthaltenen Termine kostet nur nach § 7 EUR 450,00 netto. Nicht beauftragte Zusatzleistungen werden weder ausgeführt noch abgerechnet; fachliche Warn- und gesetzliche Pflichten bleiben davon unberührt.</w:t>
      </w:r>
    </w:p>
    <w:tbl>
      <w:tblPr>
        <w:tblW w:type="auto" w:w="0"/>
        <w:jc w:val="center"/>
        <w:tblLayout w:type="fixed"/>
        <w:tblLook w:firstColumn="1" w:firstRow="1" w:lastColumn="0" w:lastRow="0" w:noHBand="0" w:noVBand="1" w:val="04A0"/>
      </w:tblPr>
      <w:tblGrid>
        <w:gridCol w:w="1361"/>
        <w:gridCol w:w="6576"/>
        <w:gridCol w:w="1814"/>
      </w:tblGrid>
      <w:tr>
        <w:trPr>
          <w:cantSplit/>
          <w:tblHeader w:val="true"/>
        </w:trPr>
        <w:tc>
          <w:tcPr>
            <w:tcW w:type="dxa" w:w="136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E6EAF0"/>
          </w:tcPr>
          <w:p>
            <w:pPr>
              <w:keepNext/>
              <w:spacing w:after="20" w:before="20" w:line="247" w:lineRule="auto"/>
              <w:jc w:val="center"/>
            </w:pPr>
            <w:r>
              <w:rPr>
                <w:rFonts w:ascii="Arial" w:hAnsi="Arial"/>
                <w:b/>
                <w:color w:val="000000"/>
                <w:sz w:val="20"/>
              </w:rPr>
              <w:t>Pos.</w:t>
            </w:r>
          </w:p>
        </w:tc>
        <w:tc>
          <w:tcPr>
            <w:tcW w:type="dxa" w:w="6576"/>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E6EAF0"/>
          </w:tcPr>
          <w:p>
            <w:pPr>
              <w:keepNext/>
              <w:spacing w:after="20" w:before="20" w:line="247" w:lineRule="auto"/>
              <w:jc w:val="center"/>
            </w:pPr>
            <w:r>
              <w:rPr>
                <w:rFonts w:ascii="Arial" w:hAnsi="Arial"/>
                <w:b/>
                <w:color w:val="000000"/>
                <w:sz w:val="20"/>
              </w:rPr>
              <w:t>Originalposition - erweitert durch diesen Vertrag</w:t>
            </w:r>
          </w:p>
        </w:tc>
        <w:tc>
          <w:tcPr>
            <w:tcW w:type="dxa" w:w="181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E6EAF0"/>
          </w:tcPr>
          <w:p>
            <w:pPr>
              <w:keepNext/>
              <w:spacing w:after="20" w:before="20" w:line="247" w:lineRule="auto"/>
              <w:jc w:val="center"/>
            </w:pPr>
            <w:r>
              <w:rPr>
                <w:rFonts w:ascii="Arial" w:hAnsi="Arial"/>
                <w:b/>
                <w:color w:val="000000"/>
                <w:sz w:val="20"/>
              </w:rPr>
              <w:t>EUR netto</w:t>
            </w:r>
          </w:p>
        </w:tc>
      </w:tr>
      <w:tr>
        <w:trPr>
          <w:cantSplit/>
        </w:trPr>
        <w:tc>
          <w:tcPr>
            <w:tcW w:type="dxa" w:w="136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01</w:t>
            </w:r>
          </w:p>
        </w:tc>
        <w:tc>
          <w:tcPr>
            <w:tcW w:type="dxa" w:w="6576"/>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Ausführungsstatik; Vollständige Ausführungsstatik, ausführungsreife Tragwerkspläne und Details nach §§ 2-3 und 9</w:t>
            </w:r>
          </w:p>
        </w:tc>
        <w:tc>
          <w:tcPr>
            <w:tcW w:type="dxa" w:w="181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right"/>
            </w:pPr>
            <w:r>
              <w:rPr>
                <w:rFonts w:ascii="Arial" w:hAnsi="Arial"/>
                <w:b w:val="0"/>
                <w:color w:val="000000"/>
                <w:sz w:val="20"/>
              </w:rPr>
              <w:t>42.000,00</w:t>
            </w:r>
          </w:p>
        </w:tc>
      </w:tr>
      <w:tr>
        <w:trPr>
          <w:cantSplit/>
        </w:trPr>
        <w:tc>
          <w:tcPr>
            <w:tcW w:type="dxa" w:w="136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02</w:t>
            </w:r>
          </w:p>
        </w:tc>
        <w:tc>
          <w:tcPr>
            <w:tcW w:type="dxa" w:w="6576"/>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Durchbruchsplanung Bestand; Vereinbarte tragwerksrelevante Bestandsöffnungen einschließlich Verstärkungen und Bauzuständen</w:t>
            </w:r>
          </w:p>
        </w:tc>
        <w:tc>
          <w:tcPr>
            <w:tcW w:type="dxa" w:w="181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right"/>
            </w:pPr>
            <w:r>
              <w:rPr>
                <w:rFonts w:ascii="Arial" w:hAnsi="Arial"/>
                <w:b w:val="0"/>
                <w:color w:val="000000"/>
                <w:sz w:val="20"/>
              </w:rPr>
              <w:t>6.000,00</w:t>
            </w:r>
          </w:p>
        </w:tc>
      </w:tr>
      <w:tr>
        <w:trPr>
          <w:cantSplit/>
        </w:trPr>
        <w:tc>
          <w:tcPr>
            <w:tcW w:type="dxa" w:w="136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03</w:t>
            </w:r>
          </w:p>
        </w:tc>
        <w:tc>
          <w:tcPr>
            <w:tcW w:type="dxa" w:w="6576"/>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Baugrubensicherung; Baugrubensicherungs-, Verbau-, Unterfangungs- und temporäre Sicherungsplanung nach § 4</w:t>
            </w:r>
          </w:p>
        </w:tc>
        <w:tc>
          <w:tcPr>
            <w:tcW w:type="dxa" w:w="181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right"/>
            </w:pPr>
            <w:r>
              <w:rPr>
                <w:rFonts w:ascii="Arial" w:hAnsi="Arial"/>
                <w:b w:val="0"/>
                <w:color w:val="000000"/>
                <w:sz w:val="20"/>
              </w:rPr>
              <w:t>5.000,00</w:t>
            </w:r>
          </w:p>
        </w:tc>
      </w:tr>
      <w:tr>
        <w:trPr>
          <w:cantSplit/>
        </w:trPr>
        <w:tc>
          <w:tcPr>
            <w:tcW w:type="dxa" w:w="136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04</w:t>
            </w:r>
          </w:p>
        </w:tc>
        <w:tc>
          <w:tcPr>
            <w:tcW w:type="dxa" w:w="6576"/>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Untergrundbeschau; Untergrundbeschau einschließlich Befund und Abgleich der Gründungsannahmen</w:t>
            </w:r>
          </w:p>
        </w:tc>
        <w:tc>
          <w:tcPr>
            <w:tcW w:type="dxa" w:w="181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right"/>
            </w:pPr>
            <w:r>
              <w:rPr>
                <w:rFonts w:ascii="Arial" w:hAnsi="Arial"/>
                <w:b w:val="0"/>
                <w:color w:val="000000"/>
                <w:sz w:val="20"/>
              </w:rPr>
              <w:t>800,00</w:t>
            </w:r>
          </w:p>
        </w:tc>
      </w:tr>
      <w:tr>
        <w:trPr>
          <w:cantSplit/>
        </w:trPr>
        <w:tc>
          <w:tcPr>
            <w:tcW w:type="dxa" w:w="136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05</w:t>
            </w:r>
          </w:p>
        </w:tc>
        <w:tc>
          <w:tcPr>
            <w:tcW w:type="dxa" w:w="6576"/>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Baubegleitung - 12 Abnahmen inkludiert; Technische Baubegleitung und neu ausdrücklich Prüfingenieur nach §§ 5-7; 12 Abnahmen</w:t>
            </w:r>
          </w:p>
        </w:tc>
        <w:tc>
          <w:tcPr>
            <w:tcW w:type="dxa" w:w="181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right"/>
            </w:pPr>
            <w:r>
              <w:rPr>
                <w:rFonts w:ascii="Arial" w:hAnsi="Arial"/>
                <w:b w:val="0"/>
                <w:color w:val="000000"/>
                <w:sz w:val="20"/>
              </w:rPr>
              <w:t>14.000,00</w:t>
            </w:r>
          </w:p>
        </w:tc>
      </w:tr>
      <w:tr>
        <w:trPr>
          <w:cantSplit/>
        </w:trPr>
        <w:tc>
          <w:tcPr>
            <w:tcW w:type="dxa" w:w="136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06</w:t>
            </w:r>
          </w:p>
        </w:tc>
        <w:tc>
          <w:tcPr>
            <w:tcW w:type="dxa" w:w="6576"/>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Schlussunterlagen; Schlussordner/As-built-Tragwerk und neu ausdrücklich Bauwerksbuch für gesamten Bestand plus neue Eingriffe nach § 8</w:t>
            </w:r>
          </w:p>
        </w:tc>
        <w:tc>
          <w:tcPr>
            <w:tcW w:type="dxa" w:w="181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right"/>
            </w:pPr>
            <w:r>
              <w:rPr>
                <w:rFonts w:ascii="Arial" w:hAnsi="Arial"/>
                <w:b w:val="0"/>
                <w:color w:val="000000"/>
                <w:sz w:val="20"/>
              </w:rPr>
              <w:t>1.500,00</w:t>
            </w:r>
          </w:p>
        </w:tc>
      </w:tr>
      <w:tr>
        <w:trPr>
          <w:cantSplit/>
        </w:trPr>
        <w:tc>
          <w:tcPr>
            <w:tcW w:type="dxa" w:w="136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r>
          </w:p>
        </w:tc>
        <w:tc>
          <w:tcPr>
            <w:tcW w:type="dxa" w:w="6576"/>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Summe netto</w:t>
            </w:r>
          </w:p>
        </w:tc>
        <w:tc>
          <w:tcPr>
            <w:tcW w:type="dxa" w:w="181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right"/>
            </w:pPr>
            <w:r>
              <w:rPr>
                <w:rFonts w:ascii="Arial" w:hAnsi="Arial"/>
                <w:b w:val="0"/>
                <w:color w:val="000000"/>
                <w:sz w:val="20"/>
              </w:rPr>
              <w:t>69.300,00</w:t>
            </w:r>
          </w:p>
        </w:tc>
      </w:tr>
      <w:tr>
        <w:trPr>
          <w:cantSplit/>
        </w:trPr>
        <w:tc>
          <w:tcPr>
            <w:tcW w:type="dxa" w:w="136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r>
          </w:p>
        </w:tc>
        <w:tc>
          <w:tcPr>
            <w:tcW w:type="dxa" w:w="6576"/>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Umsatzsteuer 20%</w:t>
            </w:r>
          </w:p>
        </w:tc>
        <w:tc>
          <w:tcPr>
            <w:tcW w:type="dxa" w:w="181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right"/>
            </w:pPr>
            <w:r>
              <w:rPr>
                <w:rFonts w:ascii="Arial" w:hAnsi="Arial"/>
                <w:b w:val="0"/>
                <w:color w:val="000000"/>
                <w:sz w:val="20"/>
              </w:rPr>
              <w:t>13.860,00</w:t>
            </w:r>
          </w:p>
        </w:tc>
      </w:tr>
      <w:tr>
        <w:trPr>
          <w:cantSplit/>
        </w:trPr>
        <w:tc>
          <w:tcPr>
            <w:tcW w:type="dxa" w:w="136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r>
          </w:p>
        </w:tc>
        <w:tc>
          <w:tcPr>
            <w:tcW w:type="dxa" w:w="6576"/>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Summe brutto</w:t>
            </w:r>
          </w:p>
        </w:tc>
        <w:tc>
          <w:tcPr>
            <w:tcW w:type="dxa" w:w="181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right"/>
            </w:pPr>
            <w:r>
              <w:rPr>
                <w:rFonts w:ascii="Arial" w:hAnsi="Arial"/>
                <w:b w:val="0"/>
                <w:color w:val="000000"/>
                <w:sz w:val="20"/>
              </w:rPr>
              <w:t>83.160,00</w:t>
            </w:r>
          </w:p>
        </w:tc>
      </w:tr>
    </w:tbl>
    <w:p>
      <w:pPr>
        <w:spacing w:after="40"/>
      </w:pPr>
    </w:p>
    <w:p>
      <w:pPr>
        <w:pStyle w:val="Heading1"/>
      </w:pPr>
      <w:r>
        <w:t>12 Lieferung Prüfung Teilrechnungen und Retention</w:t>
      </w:r>
    </w:p>
    <w:p>
      <w:r>
        <w:t>(1) Es gibt keine Vorauszahlung ohne entsprechenden nachgewiesenen Leistungsfortschritt. Monatliche Teilrechnungen sind möglich, soweit tatsächlich vollständig gelieferte und prüffähige Teilpakete oder nachgewiesene Abnahmestufen erbracht wurden. Ein bloßer Kalenderfortschritt, eine bloße Stundenmeldung oder ein nicht verwendbarer Entwurf rechtfertigt keine vollständige Abrechnung der zugehörigen Pauschale.</w:t>
      </w:r>
    </w:p>
    <w:p>
      <w:r>
        <w:t>(2) Die AG prüft ein als vollständig bezeichnetes Dossier binnen zehn Werktagen auf vertragliche Vollständigkeit und teilt konkrete Ergänzungsbedürfnisse oder ihre Freigabe schriftlich mit. Fachlich notwendige eigene Ergänzungen beziehungsweise Korrekturen liefert der AN grundsätzlich binnen fünf Werktagen, bei erheblichem Umfang mit einer innerhalb dieser Frist bestätigten angemessenen Fertigstellungsfrist. Eine Freigabe durch AG, Architekt oder Baufirma ersetzt keine fachliche Eigenverantwortung des AN.</w:t>
      </w:r>
    </w:p>
    <w:p>
      <w:r>
        <w:t>(3) Prüffähige Rechnungen benennen Originalposition, Dossier beziehungsweise Abnahmestufe, Leistungsstand, bereits abgerechnete und bezahlte Beträge, vereinbarte Zusatzaufträge und die gesetzlichen Rechnungsangaben. Zahlungsziel sind dreißig Kalendertage ab Zugang der prüffähigen Rechnung und vollständiger abrechenbarer Lieferung. Rechnungsreklamation, Abnahme oder Anerkenntnis treten nicht allein durch Schweigen nach vierzehn Tagen ein.</w:t>
      </w:r>
    </w:p>
    <w:p>
      <w:r>
        <w:t>(4) Ein konkret bestrittenes Entgelt wird mit nachvollziehbaren Gründen beanstandet; unbestrittene fällige Teilbeträge bleiben zahlbar. Ein angemessener gesetzlich zulässiger Einbehalt wegen Mängeln bleibt unberührt. Nur berechtigte, gesetzlich beziehungsweise vertraglich geschuldete Verzugszinsen und angemessene notwendige Rechtsverfolgungskosten können geltend gemacht werden; ein bestrittenes oder nicht fälliges Honorar wird nicht durch pauschale Mahngebühren anerkannt.</w:t>
      </w:r>
    </w:p>
    <w:p>
      <w:r>
        <w:t>(5) Als ausdrücklicher neuer AG-Verhandlungsvorschlag wird abweichend von 'Kein Haftrücklass' ein Haftrücklass von 5% des jeweils freigegebenen Netto-Rechnungsbetrags vereinbart. Er sichert vertragliche Erfüllungs- und Mängelbehebungsansprüche. Die vertragliche Gewährleistungsfrist beträgt mindestens drei Jahre ab vollständiger dokumentierter Abnahme des Gesamtpakets; längere gesetzliche Fristen und eigenständige Schadenersatzansprüche bleiben unberührt. Dies ist eine neue vertragliche Vereinbarung und keine Aussage, dass gesetzlich für jede einzelne Leistung zwingend ein einheitlicher Dreijahreszeitraum gilt. Nach Ablauf der vereinbarten Frist wird der Haftrücklass freigegeben, ausgenommen ein angemessener Teil für konkret geltend gemachte, noch offene gesicherte Ansprüche. Der AN kann ihn durch eine gleichwertige in Österreich durchsetzbare Bankgarantie mit gleichem Betrag, Sicherungszweck und angemessener Laufzeit ersetzen. Das Garantieformular wird vor Unterzeichnung gemeinsam vereinbart. Zwingende Rechte des AN nach § 1170b ABGB bleiben unberührt.</w:t>
      </w:r>
    </w:p>
    <w:p>
      <w:r>
        <w:t>(6) Anlage 3 enthält lediglich neue AG-Vorschläge für die Abrechnung bei tatsächlicher Leistung. Die Prozentwerte sind keine historisch angebotenen Einzelpreise und keine zusätzlichen Gebühren. Über alle Teilrechnungen dürfen die sechs Positionen ohne freigegebene Zusatzaufträge ihren Originalbetrag nicht überschreiten.</w:t>
      </w:r>
    </w:p>
    <w:p>
      <w:r>
        <w:t>(7) Unabdingbare Sicherstellungsrechte des AN, insbesondere ein im konkreten Fall anwendbarer Anspruch nach § 1170b ABGB einschließlich der gesetzlich vorgesehenen Folgen, bleiben unberührt. Ein Sicherstellungsverlangen ist konkret und nachvollziehbar zu begründen; gesetzliche Voraussetzungen und Fristen sind einzuhalten. Die vertraglichen Warn-, Dokumentations- und sicherheitsbezogenen Übergabepflichten bestehen im gesetzlich zulässigen Umfang auch bei einer berechtigten Unterbrechung fort. Dieser Vertrag verbietet keine rechtmäßige gesetzliche Leistungseinstellung.</w:t>
      </w:r>
    </w:p>
    <w:p>
      <w:pPr>
        <w:pStyle w:val="Heading1"/>
      </w:pPr>
      <w:r>
        <w:t>Anlage 3 Vorgeschlagener Abrechnungsplan innerhalb der Originalpauschalen</w:t>
      </w:r>
    </w:p>
    <w:tbl>
      <w:tblPr>
        <w:tblW w:type="auto" w:w="0"/>
        <w:jc w:val="center"/>
        <w:tblLayout w:type="fixed"/>
        <w:tblLook w:firstColumn="1" w:firstRow="1" w:lastColumn="0" w:lastRow="0" w:noHBand="0" w:noVBand="1" w:val="04A0"/>
      </w:tblPr>
      <w:tblGrid>
        <w:gridCol w:w="1361"/>
        <w:gridCol w:w="6576"/>
        <w:gridCol w:w="1814"/>
      </w:tblGrid>
      <w:tr>
        <w:trPr>
          <w:cantSplit/>
          <w:tblHeader w:val="true"/>
        </w:trPr>
        <w:tc>
          <w:tcPr>
            <w:tcW w:type="dxa" w:w="136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E6EAF0"/>
          </w:tcPr>
          <w:p>
            <w:pPr>
              <w:keepNext/>
              <w:spacing w:after="20" w:before="20" w:line="247" w:lineRule="auto"/>
              <w:jc w:val="center"/>
            </w:pPr>
            <w:r>
              <w:rPr>
                <w:rFonts w:ascii="Arial" w:hAnsi="Arial"/>
                <w:b/>
                <w:color w:val="000000"/>
                <w:sz w:val="20"/>
              </w:rPr>
              <w:t>Position</w:t>
            </w:r>
          </w:p>
        </w:tc>
        <w:tc>
          <w:tcPr>
            <w:tcW w:type="dxa" w:w="6576"/>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E6EAF0"/>
          </w:tcPr>
          <w:p>
            <w:pPr>
              <w:keepNext/>
              <w:spacing w:after="20" w:before="20" w:line="247" w:lineRule="auto"/>
              <w:jc w:val="center"/>
            </w:pPr>
            <w:r>
              <w:rPr>
                <w:rFonts w:ascii="Arial" w:hAnsi="Arial"/>
                <w:b/>
                <w:color w:val="000000"/>
                <w:sz w:val="20"/>
              </w:rPr>
              <w:t>Abrechenbare Leistung / Anteil</w:t>
            </w:r>
          </w:p>
        </w:tc>
        <w:tc>
          <w:tcPr>
            <w:tcW w:type="dxa" w:w="181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E6EAF0"/>
          </w:tcPr>
          <w:p>
            <w:pPr>
              <w:keepNext/>
              <w:spacing w:after="20" w:before="20" w:line="247" w:lineRule="auto"/>
              <w:jc w:val="center"/>
            </w:pPr>
            <w:r>
              <w:rPr>
                <w:rFonts w:ascii="Arial" w:hAnsi="Arial"/>
                <w:b/>
                <w:color w:val="000000"/>
                <w:sz w:val="20"/>
              </w:rPr>
              <w:t>EUR netto</w:t>
            </w:r>
          </w:p>
        </w:tc>
      </w:tr>
      <w:tr>
        <w:trPr>
          <w:cantSplit/>
        </w:trPr>
        <w:tc>
          <w:tcPr>
            <w:tcW w:type="dxa" w:w="136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01/D1</w:t>
            </w:r>
          </w:p>
        </w:tc>
        <w:tc>
          <w:tcPr>
            <w:tcW w:type="dxa" w:w="6576"/>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Grundlagen, Objektbegehung, prüffähiges System, Normen/Lasten, Planliste und Lieferschema - 10%</w:t>
            </w:r>
          </w:p>
        </w:tc>
        <w:tc>
          <w:tcPr>
            <w:tcW w:type="dxa" w:w="181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right"/>
            </w:pPr>
            <w:r>
              <w:rPr>
                <w:rFonts w:ascii="Arial" w:hAnsi="Arial"/>
                <w:b w:val="0"/>
                <w:color w:val="000000"/>
                <w:sz w:val="20"/>
              </w:rPr>
              <w:t>4.200,00</w:t>
            </w:r>
          </w:p>
        </w:tc>
      </w:tr>
      <w:tr>
        <w:trPr>
          <w:cantSplit/>
        </w:trPr>
        <w:tc>
          <w:tcPr>
            <w:tcW w:type="dxa" w:w="136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01/D2</w:t>
            </w:r>
          </w:p>
        </w:tc>
        <w:tc>
          <w:tcPr>
            <w:tcW w:type="dxa" w:w="6576"/>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Vollständige Fundierungs-/Liftstatik mit Plänen, Listen und Details - 25%</w:t>
            </w:r>
          </w:p>
        </w:tc>
        <w:tc>
          <w:tcPr>
            <w:tcW w:type="dxa" w:w="181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right"/>
            </w:pPr>
            <w:r>
              <w:rPr>
                <w:rFonts w:ascii="Arial" w:hAnsi="Arial"/>
                <w:b w:val="0"/>
                <w:color w:val="000000"/>
                <w:sz w:val="20"/>
              </w:rPr>
              <w:t>10.500,00</w:t>
            </w:r>
          </w:p>
        </w:tc>
      </w:tr>
      <w:tr>
        <w:trPr>
          <w:cantSplit/>
        </w:trPr>
        <w:tc>
          <w:tcPr>
            <w:tcW w:type="dxa" w:w="136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01/D3</w:t>
            </w:r>
          </w:p>
        </w:tc>
        <w:tc>
          <w:tcPr>
            <w:tcW w:type="dxa" w:w="6576"/>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Vollständige Bestands-/Decken-/Wandertüchtigung mit Plänen und Details - 25%</w:t>
            </w:r>
          </w:p>
        </w:tc>
        <w:tc>
          <w:tcPr>
            <w:tcW w:type="dxa" w:w="181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right"/>
            </w:pPr>
            <w:r>
              <w:rPr>
                <w:rFonts w:ascii="Arial" w:hAnsi="Arial"/>
                <w:b w:val="0"/>
                <w:color w:val="000000"/>
                <w:sz w:val="20"/>
              </w:rPr>
              <w:t>10.500,00</w:t>
            </w:r>
          </w:p>
        </w:tc>
      </w:tr>
      <w:tr>
        <w:trPr>
          <w:cantSplit/>
        </w:trPr>
        <w:tc>
          <w:tcPr>
            <w:tcW w:type="dxa" w:w="136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01/D4</w:t>
            </w:r>
          </w:p>
        </w:tc>
        <w:tc>
          <w:tcPr>
            <w:tcW w:type="dxa" w:w="6576"/>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Vollständige Dachgeschossstatik Holz/Stahl mit Plänen, Listen und Details - 25%</w:t>
            </w:r>
          </w:p>
        </w:tc>
        <w:tc>
          <w:tcPr>
            <w:tcW w:type="dxa" w:w="181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right"/>
            </w:pPr>
            <w:r>
              <w:rPr>
                <w:rFonts w:ascii="Arial" w:hAnsi="Arial"/>
                <w:b w:val="0"/>
                <w:color w:val="000000"/>
                <w:sz w:val="20"/>
              </w:rPr>
              <w:t>10.500,00</w:t>
            </w:r>
          </w:p>
        </w:tc>
      </w:tr>
      <w:tr>
        <w:trPr>
          <w:cantSplit/>
        </w:trPr>
        <w:tc>
          <w:tcPr>
            <w:tcW w:type="dxa" w:w="136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01/D5</w:t>
            </w:r>
          </w:p>
        </w:tc>
        <w:tc>
          <w:tcPr>
            <w:tcW w:type="dxa" w:w="6576"/>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Balkone, Stiegen, Resttragwerk und konsistente Gesamtübergabe - 15%</w:t>
            </w:r>
          </w:p>
        </w:tc>
        <w:tc>
          <w:tcPr>
            <w:tcW w:type="dxa" w:w="181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right"/>
            </w:pPr>
            <w:r>
              <w:rPr>
                <w:rFonts w:ascii="Arial" w:hAnsi="Arial"/>
                <w:b w:val="0"/>
                <w:color w:val="000000"/>
                <w:sz w:val="20"/>
              </w:rPr>
              <w:t>6.300,00</w:t>
            </w:r>
          </w:p>
        </w:tc>
      </w:tr>
      <w:tr>
        <w:trPr>
          <w:cantSplit/>
        </w:trPr>
        <w:tc>
          <w:tcPr>
            <w:tcW w:type="dxa" w:w="136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02</w:t>
            </w:r>
          </w:p>
        </w:tc>
        <w:tc>
          <w:tcPr>
            <w:tcW w:type="dxa" w:w="6576"/>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50% nach vollständiger Durchbruchsplanung; 50% nach koordinierten Freigaben und Dokumentation</w:t>
            </w:r>
          </w:p>
        </w:tc>
        <w:tc>
          <w:tcPr>
            <w:tcW w:type="dxa" w:w="181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right"/>
            </w:pPr>
            <w:r>
              <w:rPr>
                <w:rFonts w:ascii="Arial" w:hAnsi="Arial"/>
                <w:b w:val="0"/>
                <w:color w:val="000000"/>
                <w:sz w:val="20"/>
              </w:rPr>
              <w:t>3.000,00 + 3.000,00</w:t>
            </w:r>
          </w:p>
        </w:tc>
      </w:tr>
      <w:tr>
        <w:trPr>
          <w:cantSplit/>
        </w:trPr>
        <w:tc>
          <w:tcPr>
            <w:tcW w:type="dxa" w:w="136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03</w:t>
            </w:r>
          </w:p>
        </w:tc>
        <w:tc>
          <w:tcPr>
            <w:tcW w:type="dxa" w:w="6576"/>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70% nach vollständiger prüffähiger Baugrubensicherungsplanung; 30% nach Freigaben und Dokumentation</w:t>
            </w:r>
          </w:p>
        </w:tc>
        <w:tc>
          <w:tcPr>
            <w:tcW w:type="dxa" w:w="181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right"/>
            </w:pPr>
            <w:r>
              <w:rPr>
                <w:rFonts w:ascii="Arial" w:hAnsi="Arial"/>
                <w:b w:val="0"/>
                <w:color w:val="000000"/>
                <w:sz w:val="20"/>
              </w:rPr>
              <w:t>3.500,00 + 1.500,00</w:t>
            </w:r>
          </w:p>
        </w:tc>
      </w:tr>
      <w:tr>
        <w:trPr>
          <w:cantSplit/>
        </w:trPr>
        <w:tc>
          <w:tcPr>
            <w:tcW w:type="dxa" w:w="136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04</w:t>
            </w:r>
          </w:p>
        </w:tc>
        <w:tc>
          <w:tcPr>
            <w:tcW w:type="dxa" w:w="6576"/>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Nach Untergrundbeschau und vollständigem Befund</w:t>
            </w:r>
          </w:p>
        </w:tc>
        <w:tc>
          <w:tcPr>
            <w:tcW w:type="dxa" w:w="181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right"/>
            </w:pPr>
            <w:r>
              <w:rPr>
                <w:rFonts w:ascii="Arial" w:hAnsi="Arial"/>
                <w:b w:val="0"/>
                <w:color w:val="000000"/>
                <w:sz w:val="20"/>
              </w:rPr>
              <w:t>800,00</w:t>
            </w:r>
          </w:p>
        </w:tc>
      </w:tr>
      <w:tr>
        <w:trPr>
          <w:cantSplit/>
        </w:trPr>
        <w:tc>
          <w:tcPr>
            <w:tcW w:type="dxa" w:w="136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05/A</w:t>
            </w:r>
          </w:p>
        </w:tc>
        <w:tc>
          <w:tcPr>
            <w:tcW w:type="dxa" w:w="6576"/>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Benannter PI, Beschauplan, Startbeilagen und erste Abnahme - 20%</w:t>
            </w:r>
          </w:p>
        </w:tc>
        <w:tc>
          <w:tcPr>
            <w:tcW w:type="dxa" w:w="181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right"/>
            </w:pPr>
            <w:r>
              <w:rPr>
                <w:rFonts w:ascii="Arial" w:hAnsi="Arial"/>
                <w:b w:val="0"/>
                <w:color w:val="000000"/>
                <w:sz w:val="20"/>
              </w:rPr>
              <w:t>2.800,00</w:t>
            </w:r>
          </w:p>
        </w:tc>
      </w:tr>
      <w:tr>
        <w:trPr>
          <w:cantSplit/>
        </w:trPr>
        <w:tc>
          <w:tcPr>
            <w:tcW w:type="dxa" w:w="136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05/B</w:t>
            </w:r>
          </w:p>
        </w:tc>
        <w:tc>
          <w:tcPr>
            <w:tcW w:type="dxa" w:w="6576"/>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Vor Rohbaubeschau erbrachte vereinbarte Abnahmen, Befunde und Begleitung - 40%</w:t>
            </w:r>
          </w:p>
        </w:tc>
        <w:tc>
          <w:tcPr>
            <w:tcW w:type="dxa" w:w="181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right"/>
            </w:pPr>
            <w:r>
              <w:rPr>
                <w:rFonts w:ascii="Arial" w:hAnsi="Arial"/>
                <w:b w:val="0"/>
                <w:color w:val="000000"/>
                <w:sz w:val="20"/>
              </w:rPr>
              <w:t>5.600,00</w:t>
            </w:r>
          </w:p>
        </w:tc>
      </w:tr>
      <w:tr>
        <w:trPr>
          <w:cantSplit/>
        </w:trPr>
        <w:tc>
          <w:tcPr>
            <w:tcW w:type="dxa" w:w="136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05/C</w:t>
            </w:r>
          </w:p>
        </w:tc>
        <w:tc>
          <w:tcPr>
            <w:tcW w:type="dxa" w:w="6576"/>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Rohbau-, Balkon- und Ausbaubefunde, erforderliche Materialprüfungen - 20%</w:t>
            </w:r>
          </w:p>
        </w:tc>
        <w:tc>
          <w:tcPr>
            <w:tcW w:type="dxa" w:w="181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right"/>
            </w:pPr>
            <w:r>
              <w:rPr>
                <w:rFonts w:ascii="Arial" w:hAnsi="Arial"/>
                <w:b w:val="0"/>
                <w:color w:val="000000"/>
                <w:sz w:val="20"/>
              </w:rPr>
              <w:t>2.800,00</w:t>
            </w:r>
          </w:p>
        </w:tc>
      </w:tr>
      <w:tr>
        <w:trPr>
          <w:cantSplit/>
        </w:trPr>
        <w:tc>
          <w:tcPr>
            <w:tcW w:type="dxa" w:w="136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05/D</w:t>
            </w:r>
          </w:p>
        </w:tc>
        <w:tc>
          <w:tcPr>
            <w:tcW w:type="dxa" w:w="6576"/>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Endbefunde, § 128 Tragwerksnachweise und Schlusskoordination - 20%</w:t>
            </w:r>
          </w:p>
        </w:tc>
        <w:tc>
          <w:tcPr>
            <w:tcW w:type="dxa" w:w="181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right"/>
            </w:pPr>
            <w:r>
              <w:rPr>
                <w:rFonts w:ascii="Arial" w:hAnsi="Arial"/>
                <w:b w:val="0"/>
                <w:color w:val="000000"/>
                <w:sz w:val="20"/>
              </w:rPr>
              <w:t>2.800,00</w:t>
            </w:r>
          </w:p>
        </w:tc>
      </w:tr>
      <w:tr>
        <w:trPr>
          <w:cantSplit/>
        </w:trPr>
        <w:tc>
          <w:tcPr>
            <w:tcW w:type="dxa" w:w="136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06</w:t>
            </w:r>
          </w:p>
        </w:tc>
        <w:tc>
          <w:tcPr>
            <w:tcW w:type="dxa" w:w="6576"/>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Vollständiger Schlussordner und Bauwerksbuch für Bestand und neue Eingriffe; erforderliche Registrierung</w:t>
            </w:r>
          </w:p>
        </w:tc>
        <w:tc>
          <w:tcPr>
            <w:tcW w:type="dxa" w:w="181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right"/>
            </w:pPr>
            <w:r>
              <w:rPr>
                <w:rFonts w:ascii="Arial" w:hAnsi="Arial"/>
                <w:b w:val="0"/>
                <w:color w:val="000000"/>
                <w:sz w:val="20"/>
              </w:rPr>
              <w:t>1.500,00</w:t>
            </w:r>
          </w:p>
        </w:tc>
      </w:tr>
      <w:tr>
        <w:trPr>
          <w:cantSplit/>
        </w:trPr>
        <w:tc>
          <w:tcPr>
            <w:tcW w:type="dxa" w:w="1361"/>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Gesamt</w:t>
            </w:r>
          </w:p>
        </w:tc>
        <w:tc>
          <w:tcPr>
            <w:tcW w:type="dxa" w:w="6576"/>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Summe aller Originalpositionen vor Sicherungseinbehalt</w:t>
            </w:r>
          </w:p>
        </w:tc>
        <w:tc>
          <w:tcPr>
            <w:tcW w:type="dxa" w:w="181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right"/>
            </w:pPr>
            <w:r>
              <w:rPr>
                <w:rFonts w:ascii="Arial" w:hAnsi="Arial"/>
                <w:b w:val="0"/>
                <w:color w:val="000000"/>
                <w:sz w:val="20"/>
              </w:rPr>
              <w:t>69.300,00</w:t>
            </w:r>
          </w:p>
        </w:tc>
      </w:tr>
    </w:tbl>
    <w:p>
      <w:pPr>
        <w:spacing w:after="40"/>
      </w:pPr>
    </w:p>
    <w:p>
      <w:pPr>
        <w:pStyle w:val="Heading1"/>
      </w:pPr>
      <w:r>
        <w:t>13 Änderungen Planwechsel und Mehrkostenfreigabe</w:t>
      </w:r>
    </w:p>
    <w:p>
      <w:r>
        <w:t>(1) Enthalten ist eine zusammenhängende tragwerksbezogene Planwechsel- beziehungsweise Anpassungsbearbeitung innerhalb des bestehenden Baukonzepts einschließlich prüffähiger Berechnung und Planfortschreibung, fachlicher Abstimmung mit Architekt und MA 37 und üblicher behördlicher Rückfragen. Die allgemeine architektonische Einreichung und Einreichberechtigung werden vom zuständigen Architekten beziehungsweise befugten Planer erbracht. Der AN liefert die vollständigen erforderlichen Tragwerksanteile.</w:t>
      </w:r>
    </w:p>
    <w:p>
      <w:r>
        <w:t>(2) Korrektur eigener Fehler, notwendige Ergänzung unvollständiger vereinbarter Leistungen, normale Koordination und ein bereits im vereinbarten Projektumfang erforderlicher Bewilligungsabgleich sind keine kostenpflichtigen Änderungen. Dies gilt auch, wenn eine behördliche Rückfrage einen bereits geschuldeten Nachweis oder die Richtigstellung eigener Unterlagen betrifft.</w:t>
      </w:r>
    </w:p>
    <w:p>
      <w:r>
        <w:t>(3) Eine echte Erweiterung des Baukonzepts, zusätzliche neue Bauteile oder von der AG nachträglich gewünschte wesentliche Systemänderungen legt der AN vor Bearbeitung als Änderungsangebot vor: eindeutiger Anlass, Abgrenzung zum Grundumfang, Leistung und Lieferform, pauschaler Preis oder gedeckelte Regie, Terminfolgen und Alternativen. Eine Vergütung setzt vorausgehende ausdrückliche schriftliche Freigabe der AG voraus. Schweigen, Entgegennahme einer E-Mail, Zugang zum Portal oder technische Abstimmung sind keine Freigabe eines Zusatzhonorars.</w:t>
      </w:r>
    </w:p>
    <w:p>
      <w:r>
        <w:t>(4) Kann die Ausführung wegen fehlender Freigabe oder technischer Voraussetzungen nicht sicher fortgesetzt werden, warnt der AN die AG und den Bauführer unverzüglich und benennt den konkreten Prüfhalt. Er veranlasst keine fachlich unbelegte Freigabe. Unstrittige und unabhängig bearbeitbare Vertragsleistungen werden im gesetzlich zulässigen Umfang weitergeführt. Unverzichtbare gesetzliche Sicherstellungs- und Einstellungsrechte sowie unaufschiebbare Gefahrenabwehr bleiben vorbehalten.</w:t>
      </w:r>
    </w:p>
    <w:p>
      <w:pPr>
        <w:pStyle w:val="Heading1"/>
      </w:pPr>
      <w:r>
        <w:t>14 Qualität Verzug und Gewährleistung</w:t>
      </w:r>
    </w:p>
    <w:p>
      <w:r>
        <w:t>(1) Der AN erbringt die Leistungen mit der Fachkunde eines für dieses Vorhaben befugten und erfahrenen Bauingenieurs, durch geeignetes Personal und unter dokumentierter Qualitätssicherung. Er steht für Vollständigkeit, technische Richtigkeit, vertragliche Verwendbarkeit und ordnungsgemäße Warnungen in seinem beschriebenen Fachbereich ein.</w:t>
      </w:r>
    </w:p>
    <w:p>
      <w:r>
        <w:t>(2) Übernahme, Vollständigkeitsfreigabe oder Zahlung einer Teilrechnung sind weder Verzicht auf Gewährleistungs- und Schadenersatzansprüche noch Entlastung von fachlicher Verantwortung. Die vertragliche Gewährleistungsfrist beträgt mindestens drei Jahre ab vollständiger dokumentierter Abnahme des Gesamtpakets gemäß § 12; längere gesetzliche Fristen und eigenständige Schadenersatzansprüche bleiben unberührt. Gesetzliche Mängelrechte auf Behebung, Preisminderung oder Vertragsauflösung werden nicht verkürzt. Verdeckte Mängel werden nach Entdeckung mitgeteilt; die Rechnungsreklamationsfrist bewirkt keinen Mängelverzicht.</w:t>
      </w:r>
    </w:p>
    <w:p>
      <w:r>
        <w:t>(3) Eigene Mängel und Auslassungen werden ohne Zusatzhonorar innerhalb angemessener, mit Sicherheit und Bauablauf vereinbarer Frist behoben. Die grundsätzliche Frist von fünf Werktagen nach konkreter Aufforderung gilt nur, soweit sie technisch angemessen ist; bei akuter Gefahr handelt der AN unverzüglich. Nach fruchtloser angemessener Nachfrist kann die AG im rechtlich zulässigen Umfang befugte Dritte zur Ersatzvornahme beauftragen.</w:t>
      </w:r>
    </w:p>
    <w:p>
      <w:r>
        <w:t>(4) Gerät der AN schuldhaft mit einem bereits verbindlich vereinbarten Liefertermin in Verzug, legt er unverzüglich einen Aufholplan vor. Als neuer AG-Verhandlungsvorschlag wird für solchen Verzug eine Vertragsstrafe von 0,1% des Nettoentgelts des betroffenen Lieferpakets je Werktag vereinbart, insgesamt begrenzt auf 5% des Netto-Gesamthonorars. Weitergehender nachgewiesener Schaden kann nach Gesetz geltend gemacht werden; eine geleistete Vertragsstrafe ist darauf anzurechnen. Gesetzliche Mäßigungsrechte bleiben unberührt. Ohne verbindlichen Dossiertermin entsteht keine Strafe für einen lediglich geplanten Wunschtermin.</w:t>
      </w:r>
    </w:p>
    <w:p>
      <w:pPr>
        <w:pStyle w:val="Heading1"/>
      </w:pPr>
      <w:r>
        <w:t>15 Verantwortliche Personen Haftung und Versicherung</w:t>
      </w:r>
    </w:p>
    <w:p>
      <w:r>
        <w:t>(1) Der AN benennt den fachlich verantwortlichen Projektleiter, die Berechnungsverfasser, den Prüfingenieur, gegebenenfalls eine getrennte Prüfperson und geeignete Stellvertretungen. Er legt für die übernommenen Funktionen die erforderlichen aufrechten Befugnisse vor. Der Projektkontakt DI Bernhard Ployer wird nicht allein durch die Nennung im Angebot als effektiver Prüfingenieur oder firmenmäßiger Unterzeichner festgelegt.</w:t>
      </w:r>
    </w:p>
    <w:p>
      <w:r>
        <w:t>(2) Wesentliche Subunternehmer und der Ersatz fachlicher Schlüsselpersonen werden der AG vorher mit Befugnis, Aufgabe, Unabhängigkeit und Erreichbarkeit bekanntgegeben. Der AN bleibt für deren Vertragsleistung verantwortlich; eine Auslagerung begründet keinen neuen Vertrag oder Zusatzpreis für die AG. Ein vertretbarer Wechsel darf notwendige Beschauen nicht unterbrechen.</w:t>
      </w:r>
    </w:p>
    <w:p>
      <w:r>
        <w:t>(3) Vor Unterzeichnung legt der AN eine aktuelle Berufshaftpflichtbestätigung mit Versicherer, Polizzennummer, versicherten Funktionen, Deckung je Schaden, Aggregat, Selbstbehalt, Laufzeit und relevanten Ausschlüssen vor. Die Deckung muss Tragwerksplanung, vereinbarte Prüfingenieurleistungen und Bauwerksbucherstellung für das Vorhaben umfassen. Der AN weist den Fortbestand über die Vertragsdauer und gegebenenfalls geeignete Nachdeckungsregeln nach. Eine derzeit nicht vorliegende Deckungshöhe wird in diesem Entwurf nicht als Tatsache behauptet.</w:t>
      </w:r>
    </w:p>
    <w:p>
      <w:r>
        <w:t>(4) Die Parteien vereinbaren in Anlage 4 die erforderliche angemessene Mindestdeckung vor Unterzeichnung. Eine Versicherungsgrenze ist keine vertragliche Haftungsobergrenze. Der AN informiert die AG unverzüglich über eine wesentliche Deckungslücke, Befugnisänderung oder Versicherungsbeendigung und legt vor weiteren betroffenen Leistungen eine geeignete Lösung vor.</w:t>
      </w:r>
    </w:p>
    <w:p>
      <w:r>
        <w:t>(5) Eine pauschale Haftungsfreistellung für eigene Leistungen, eigene schuldhafte Schäden oder den Einsatz von Subunternehmern wird nicht vereinbart. Der AN haftet nach den anwendbaren gesetzlichen Regeln für die ihm zurechenbaren Pflichtverletzungen. Fachverantwortungen anderer Projektbeteiligter werden nicht umfassend auf ihn übertragen; seine ausdrücklich vereinbarten Schnittstellen- und Warnpflichten bleiben bestehen.</w:t>
      </w:r>
    </w:p>
    <w:p>
      <w:pPr>
        <w:pStyle w:val="Heading1"/>
      </w:pPr>
      <w:r>
        <w:t>16 Mitwirkung der AG und Projektkommunikation</w:t>
      </w:r>
    </w:p>
    <w:p>
      <w:r>
        <w:t>(1) Die AG stellt verfügbare Bewilligungen, Pläne, Bestands- und Baugrundunterlagen, soweit in ihrer Sphäre vorhanden, und die Zugangsdaten zum Projektportal bereit. Sie sorgt für abgestimmten Zugang zu erforderlichen Gebäudebereichen, berechtigte Entscheidungen und Beauftragung fachfremder Beteiligter. Nicht vorhandene Unterlagen oder Zustimmungen werden nicht allein durch Vertragsunterzeichnung fingiert.</w:t>
      </w:r>
    </w:p>
    <w:p>
      <w:r>
        <w:t>(2) Hersteller und Fachplaner erstellen ihre eigenen Last-, Produkt- und Anlagendaten, insbesondere für Lift und Haustechnik. Der AN prüft deren Vollständigkeit, Plausibilität und statische Kompatibilität, benennt fehlende Anforderungen und integriert sie bei Vorliegen sachgerecht. Die Erstellung fachfremder Herstellerbemessungen wird nicht übernommen.</w:t>
      </w:r>
    </w:p>
    <w:p>
      <w:r>
        <w:t>(3) Die Baufirma führt Bauarbeiten, Öffnungen und Verschlüsse fachgerecht aus, informiert rechtzeitig über Prüfhalte und ermöglicht Beschauen. Anforderungskette und angemessene Vorlaufzeiten werden im Beschauplan festgelegt. Eine schuldhafte Unterlassung von AG-Mitwirkung oder durch Dritte verursachte Behinderung wird konkret belegt und im Verfahren nach § 10 beziehungsweise § 13 behandelt.</w:t>
      </w:r>
    </w:p>
    <w:p>
      <w:r>
        <w:t>(4) Technische Absprachen, Anforderungen, Warnungen, Freigaben, Unterlagenlieferungen und Entscheidungen werden nachvollziehbar dokumentiert. Vertragsänderung, Zusatzbeauftragung und Kündigung werden ihrem Inhalt nach ausdrücklich von vertretungsberechtigten Personen schriftlich erklärt. E-Mail eignet sich für die Dokumentation, ersetzt aber keine erforderliche gesetzliche Form oder firmenmäßige Zeichnung.</w:t>
      </w:r>
    </w:p>
    <w:p>
      <w:r>
        <w:t>(5) Personenbezogene Daten werden nur im für Vertragserfüllung, gesetzliche Pflichten und zulässige Beweissicherung erforderlichen Umfang nach anwendbaren Datenschutzregelungen verarbeitet. Es wird keine unbegrenzte Einwilligung in fachfremde Nutzung oder Veröffentlichung erteilt. Zugangsdaten und nicht öffentliche Projektunterlagen werden vertraulich behandelt; behördliche und gesetzliche Meldepflichten bleiben unberührt.</w:t>
      </w:r>
    </w:p>
    <w:p>
      <w:pPr>
        <w:pStyle w:val="Heading1"/>
      </w:pPr>
      <w:r>
        <w:t>17 Laufzeit Unterbrechung und vorzeitige Beendigung</w:t>
      </w:r>
    </w:p>
    <w:p>
      <w:r>
        <w:t>(1) Der Vertrag beginnt mit rechtswirksamer Unterzeichnung und endet nach vollständiger Erfüllung, Übergabe und Abrechnung aller vereinbarten Leistungen. Prüfingenieurpflichten und Behördenrückfragen werden, soweit vereinbart, bis zum fachlichen Abschluss des Pakets bearbeitet. Die zwölf beziehungsweise fünfzehn Monate betreffen die kalkulierte Bauphase und bewirken kein automatisches Ende, solange geschuldete Schlussunterlagen ausstehen.</w:t>
      </w:r>
    </w:p>
    <w:p>
      <w:r>
        <w:t>(2) Die AG kann Leistungen aus einem nachvollziehbaren Projektgrund schriftlich unterbrechen. Die Parteien halten Bearbeitungsstand, gesicherte Unterlagen, Schutzmaßnahmen, Wiederbeginn und nachweisbare Terminwirkung fest. Es entsteht kein automatisches offenes Stehzeithonorar. Tatsächliche zusätzliche Leistungen werden nur im Verfahren nach § 13 oder auf nicht wirksam abdingbarer gesetzlicher Grundlage vergütet.</w:t>
      </w:r>
    </w:p>
    <w:p>
      <w:r>
        <w:t>(3) Jede Partei kann aus wichtigem Grund beenden, insbesondere wegen schwerer Vertragsverletzung, fehlender erforderlicher Befugnis, erheblicher nicht behobener Deckungslücke oder anhaltender nicht gerechtfertigter Nichterfüllung. Soweit nicht Schwere oder Dringlichkeit sofortiges Handeln rechtfertigen, geht eine schriftliche Aufforderung mit angemessener Behebungsfrist voraus. Zwingende gesetzliche Regeln bleiben unberührt.</w:t>
      </w:r>
    </w:p>
    <w:p>
      <w:r>
        <w:t>(4) Zusätzlich kann die AG den noch unerbrachten Teil jederzeit schriftlich abberufen beziehungsweise vorzeitig beenden. Die Vergütungsfolgen einer Abberufung aus der Sphäre der AG richten sich nach § 1168 ABGB in der anwendbaren Fassung. Bei Vorliegen dessen Voraussetzungen kann dem leistungsbereiten AN das vereinbarte Entgelt zustehen; anzurechnen sind die infolge Unterbleibens ersparten Aufwendungen, das durch anderweitige Verwendung Erworbene sowie das absichtlich zu erwerben Versäumte. Eine automatische Begrenzung allein auf physisch bereits geleistete Arbeit oder ein stets kostenfreier Abbruch wird nicht vereinbart. Der AN legt die geltend gemachte Restvergütung und die anzurechnenden Beträge nachvollziehbar offen; Originalpauschalen, tatsächlich erfüllte Teile, ersparte Leistungen, anderweitige Auslastung, freigegebene Fremdkosten und bereits bezahlte Beträge werden transparent abgeglichen. Ansprüche und Gegenansprüche infolge einer schuldhaften Vertragsverletzung sind getrennt zu beurteilen; doppelte Vergütung ist ausgeschlossen.</w:t>
      </w:r>
    </w:p>
    <w:p>
      <w:r>
        <w:t>(5) Innerhalb von fünf Werktagen nach Beendigung liefert der AN ein vollständiges Übergabeprotokoll und die vorhandenen projektbezogenen Bearbeitungsstände, Pläne, Berechnungen, nativen Dateien, Prüfbefunde, Bauwerksbuchteile, offenen Risiken und nächsten Prüfhalte. Er gibt den fachlichen Status jedes Dokuments an, weist Entwürfe nicht als freigegeben aus und unterstützt im angemessenen Umfang die Übergabe an einen befugten Nachfolger. Für bezahlte Teilunterlagen gelten die Nutzungsrechte nach § 9 fort; gesetzlich berechtigte Ansprüche und Zurückbehaltungsrechte werden im rechtlich zulässigen Rahmen behandelt.</w:t>
      </w:r>
    </w:p>
    <w:p>
      <w:r>
        <w:t>(6) Der AN legt einen schlüssigen und prüffähigen Schlussabgleich vor: Originalpauschalen, geleistete Teile, freigegebene Zusätze, bereits bezahlte Beträge, Einbehalte sowie im Fall anwendbarer gesetzlicher Abrechnung die ersparten beziehungsweise anderweitig erzielten Beträge. Gesetzlich bestehende Gewährleistungs-, Haftungs-, Vertraulichkeits- und Übergabepflichten enden nicht allein durch Kündigung. Soweit gesetzlich erforderlich, wird ein Wechsel der Prüfingenieurfunktion rechtzeitig der zuständigen Behörde bekanntgegeben.</w:t>
      </w:r>
    </w:p>
    <w:p>
      <w:pPr>
        <w:pStyle w:val="Heading1"/>
      </w:pPr>
      <w:r>
        <w:t>18 Schlussbestimmungen und Unterzeichnung</w:t>
      </w:r>
    </w:p>
    <w:p>
      <w:r>
        <w:t>(1) Es gilt österreichisches Recht. Für Streitigkeiten wird, soweit rechtlich zulässig, das sachlich zuständige Gericht in Wien vereinbart. Zwingende gesetzliche Zuständigkeiten und Pflichten bleiben unberührt.</w:t>
      </w:r>
    </w:p>
    <w:p>
      <w:r>
        <w:t>(2) Originalangebot und historische Nachrichten erhalten keinen rückwirkend geänderten Text oder Status. Die Parteien bestätigen bei Unterzeichnung den neu vereinbarten Umfang, die bisherigen Preise und die ausdrücklichen Abweichungen. Eine unterschriebene unveränderte Angebotsseite allein genügt zur Annahme dieses Erweiterungsentwurfs nicht.</w:t>
      </w:r>
    </w:p>
    <w:p>
      <w:r>
        <w:t>(3) Die deutsche Vertragsfassung ist für den beiderseitigen Vertragsinhalt maßgeblich. Die rumänische Lesesynthese erläutert den Entwurf und seine Verhandlungspunkte; sie ist keine abweichende Leistungsbeschreibung. Individualvereinbarungen gehen allgemeinen Bedingungen vor.</w:t>
      </w:r>
    </w:p>
    <w:p>
      <w:r>
        <w:t>(4) Sollte eine Bestimmung unwirksam sein, bleiben rechtlich trennbare übrige Bestimmungen aufrecht. Eine Ersatzregelung darf keine unzulässige Beschränkung zwingender Rechte bewirken; die Parteien stimmen bei Bedarf eine gesetzeskonforme Regelung ab. Gesetzlich vorgeschriebene Formen und berufsrechtliche Pflichten werden nicht abbedungen.</w:t>
      </w:r>
    </w:p>
    <w:p>
      <w:pPr>
        <w:keepLines/>
      </w:pPr>
      <w:r>
        <w:t>Ort und tatsächliches Datum der Unterzeichnung: [Wien / YYYY.MM.DD].</w:t>
        <w:br/>
        <w:t>Für die AG: Cosmin-Adrian Covaciu, als vertretungsbefugter Geschäftsführer der A&amp;C Wohnart Immobilien GmbH; Unterschrift: ________________.</w:t>
        <w:br/>
        <w:t>Für den AN: Name/Funktion der firmenmäßig vertretungsberechtigten Person: ________________; Unterschrift: ________________.</w:t>
        <w:br/>
        <w:t>Tatsächlicher T0 gemäß § 10 und Anlage 2: [YYYY.MM.DD].</w:t>
      </w:r>
    </w:p>
    <w:p>
      <w:pPr>
        <w:pStyle w:val="Heading1"/>
      </w:pPr>
      <w:r>
        <w:t>Anlage 1B Neu ergänzte oder ausdrücklich abweichende AG Vertragsbedingungen</w:t>
      </w:r>
    </w:p>
    <w:tbl>
      <w:tblPr>
        <w:tblW w:type="auto" w:w="0"/>
        <w:jc w:val="center"/>
        <w:tblLayout w:type="fixed"/>
        <w:tblLook w:firstColumn="1" w:firstRow="1" w:lastColumn="0" w:lastRow="0" w:noHBand="0" w:noVBand="1" w:val="04A0"/>
      </w:tblPr>
      <w:tblGrid>
        <w:gridCol w:w="2154"/>
        <w:gridCol w:w="3572"/>
        <w:gridCol w:w="4025"/>
      </w:tblGrid>
      <w:tr>
        <w:trPr>
          <w:cantSplit/>
          <w:tblHeader w:val="true"/>
        </w:trPr>
        <w:tc>
          <w:tcPr>
            <w:tcW w:type="dxa" w:w="215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E6EAF0"/>
          </w:tcPr>
          <w:p>
            <w:pPr>
              <w:keepNext/>
              <w:spacing w:after="20" w:before="20" w:line="247" w:lineRule="auto"/>
              <w:jc w:val="center"/>
            </w:pPr>
            <w:r>
              <w:rPr>
                <w:rFonts w:ascii="Arial" w:hAnsi="Arial"/>
                <w:b/>
                <w:color w:val="000000"/>
                <w:sz w:val="20"/>
              </w:rPr>
              <w:t>Thema</w:t>
            </w:r>
          </w:p>
        </w:tc>
        <w:tc>
          <w:tcPr>
            <w:tcW w:type="dxa" w:w="357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E6EAF0"/>
          </w:tcPr>
          <w:p>
            <w:pPr>
              <w:keepNext/>
              <w:spacing w:after="20" w:before="20" w:line="247" w:lineRule="auto"/>
              <w:jc w:val="center"/>
            </w:pPr>
            <w:r>
              <w:rPr>
                <w:rFonts w:ascii="Arial" w:hAnsi="Arial"/>
                <w:b/>
                <w:color w:val="000000"/>
                <w:sz w:val="20"/>
              </w:rPr>
              <w:t>Originalangebot / gesicherter Ausgangspunkt</w:t>
            </w:r>
          </w:p>
        </w:tc>
        <w:tc>
          <w:tcPr>
            <w:tcW w:type="dxa" w:w="402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E6EAF0"/>
          </w:tcPr>
          <w:p>
            <w:pPr>
              <w:keepNext/>
              <w:spacing w:after="20" w:before="20" w:line="247" w:lineRule="auto"/>
              <w:jc w:val="center"/>
            </w:pPr>
            <w:r>
              <w:rPr>
                <w:rFonts w:ascii="Arial" w:hAnsi="Arial"/>
                <w:b/>
                <w:color w:val="000000"/>
                <w:sz w:val="20"/>
              </w:rPr>
              <w:t>Neuer AG-Vorschlag</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Honorare</w:t>
            </w:r>
          </w:p>
        </w:tc>
        <w:tc>
          <w:tcPr>
            <w:tcW w:type="dxa" w:w="357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Sechs Positionen; insgesamt 69.300 EUR netto</w:t>
            </w:r>
          </w:p>
        </w:tc>
        <w:tc>
          <w:tcPr>
            <w:tcW w:type="dxa" w:w="402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Alle Einzelpreise unverändert; erweiterter Gesamtumfang ausdrücklich anzunehmen.</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Prüfingenieur</w:t>
            </w:r>
          </w:p>
        </w:tc>
        <w:tc>
          <w:tcPr>
            <w:tcW w:type="dxa" w:w="357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Nicht als übernommene Funktion eindeutig bezeichnet</w:t>
            </w:r>
          </w:p>
        </w:tc>
        <w:tc>
          <w:tcPr>
            <w:tcW w:type="dxa" w:w="402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Vollständiges PI-Paket §§ 127/128 innerhalb Position 05; befugte Person und Unabhängigkeit nachweisen.</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Bauwerksbuch</w:t>
            </w:r>
          </w:p>
        </w:tc>
        <w:tc>
          <w:tcPr>
            <w:tcW w:type="dxa" w:w="357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Nicht ausdrücklich angeboten</w:t>
            </w:r>
          </w:p>
        </w:tc>
        <w:tc>
          <w:tcPr>
            <w:tcW w:type="dxa" w:w="402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Gesamter Bestand plus neue Eingriffe; Erstprüfung, Foto-/Zustandsdokumentation, Fristen und erforderliche Registrierung; innerhalb Position 06.</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Planungstiefe</w:t>
            </w:r>
          </w:p>
        </w:tc>
        <w:tc>
          <w:tcPr>
            <w:tcW w:type="dxa" w:w="357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Ausführungsstatik mit allgemeinem LB-Verweis</w:t>
            </w:r>
          </w:p>
        </w:tc>
        <w:tc>
          <w:tcPr>
            <w:tcW w:type="dxa" w:w="402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Vollständige Ausführungspläne, Anschlüsse / Anker / Schweißnähte, temporäre Bauzustände, Listen, Mengen, tragwerksbezogener Brandschutz und Nachweisanpassung.</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Kalender</w:t>
            </w:r>
          </w:p>
        </w:tc>
        <w:tc>
          <w:tcPr>
            <w:tcW w:type="dxa" w:w="357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Nach Auftrag und notwendigen Unterlagen, in Absprache; keine feste Dauer</w:t>
            </w:r>
          </w:p>
        </w:tc>
        <w:tc>
          <w:tcPr>
            <w:tcW w:type="dxa" w:w="402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Tatsächlicher T0; D1 in 3 Wochen; D2-D5 gemeinsam verbindlich; 12 Monate als AG-Vorschlag, bis 15 Monate bedingte Verlängerung.</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Abnahmen</w:t>
            </w:r>
          </w:p>
        </w:tc>
        <w:tc>
          <w:tcPr>
            <w:tcW w:type="dxa" w:w="357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12 enthalten; weiterer Termin 450 EUR netto</w:t>
            </w:r>
          </w:p>
        </w:tc>
        <w:tc>
          <w:tcPr>
            <w:tcW w:type="dxa" w:w="402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Anzahl und Preis beibehalten; gemeinsame PI-/Statiktermine einmal zählen; Extras nur nach vorheriger Freigabe.</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Indexierung</w:t>
            </w:r>
          </w:p>
        </w:tc>
        <w:tc>
          <w:tcPr>
            <w:tcW w:type="dxa" w:w="357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ZT-Index laut AGB</w:t>
            </w:r>
          </w:p>
        </w:tc>
        <w:tc>
          <w:tcPr>
            <w:tcW w:type="dxa" w:w="402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Festpreis für vereinbarten Umfang/Zeitraum; keine automatische Indexierung.</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Zahlung</w:t>
            </w:r>
          </w:p>
        </w:tc>
        <w:tc>
          <w:tcPr>
            <w:tcW w:type="dxa" w:w="357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14 Tage; monatliche Teilrechnungen; kein Haftrücklass</w:t>
            </w:r>
          </w:p>
        </w:tc>
        <w:tc>
          <w:tcPr>
            <w:tcW w:type="dxa" w:w="402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30 Tage/prüffähige Lieferung; keine ungedeckte Vorauszahlung; 5% Haftrücklass bis zum Ende der mindestens dreijährigen vertraglichen Gewährleistungsfrist; Bankgarantie möglich.</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Dateien/Rechte</w:t>
            </w:r>
          </w:p>
        </w:tc>
        <w:tc>
          <w:tcPr>
            <w:tcW w:type="dxa" w:w="357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Formate nicht präzisiert; Ausführungs-/Änderungsrechte beim AN vorbehalten</w:t>
            </w:r>
          </w:p>
        </w:tc>
        <w:tc>
          <w:tcPr>
            <w:tcW w:type="dxa" w:w="402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PDF/DWG/DXF/IFC, native Dateien und Excel/CSV; projektbezogene Fortführung, Nutzung und Änderung durch befugte Dritte.</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Zusatzkosten</w:t>
            </w:r>
          </w:p>
        </w:tc>
        <w:tc>
          <w:tcPr>
            <w:tcW w:type="dxa" w:w="357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Regie, Stehzeiten und Schlüsselgebühren laut Angebot/AGB</w:t>
            </w:r>
          </w:p>
        </w:tc>
        <w:tc>
          <w:tcPr>
            <w:tcW w:type="dxa" w:w="402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Nur identifizierte Zusatzleistung nach Kosten-/Terminangebot und AG-Freigabe; Nebenkosten der Vertragsleistung enthalten.</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Planwechsel</w:t>
            </w:r>
          </w:p>
        </w:tc>
        <w:tc>
          <w:tcPr>
            <w:tcW w:type="dxa" w:w="357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Keine inklusive Quote identifiziert</w:t>
            </w:r>
          </w:p>
        </w:tc>
        <w:tc>
          <w:tcPr>
            <w:tcW w:type="dxa" w:w="402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Ein zusammenhängender tragwerksbezogener Planwechsel im vereinbarten Konzept; Architekt liefert allgemeine Einreichung.</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Beendigung</w:t>
            </w:r>
          </w:p>
        </w:tc>
        <w:tc>
          <w:tcPr>
            <w:tcW w:type="dxa" w:w="3572"/>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Keine ausgearbeitete AG-Abberufungsregel in der Offerte</w:t>
            </w:r>
          </w:p>
        </w:tc>
        <w:tc>
          <w:tcPr>
            <w:tcW w:type="dxa" w:w="402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Wichtiger Grund und AG-Abberufung; nachvollziehbare Abrechnung nach § 1168 einschließlich ersparter Aufwendungen und anderweitigen Erwerbs; Nachfolgerübergabe.</w:t>
            </w:r>
          </w:p>
        </w:tc>
      </w:tr>
    </w:tbl>
    <w:p>
      <w:pPr>
        <w:spacing w:after="40"/>
      </w:pPr>
    </w:p>
    <w:p>
      <w:pPr>
        <w:pStyle w:val="Heading1"/>
      </w:pPr>
      <w:r>
        <w:t>Anlage 4 Vor Unterzeichnung zu bestätigende Daten und Nachweise</w:t>
      </w:r>
    </w:p>
    <w:tbl>
      <w:tblPr>
        <w:tblW w:type="auto" w:w="0"/>
        <w:jc w:val="center"/>
        <w:tblLayout w:type="fixed"/>
        <w:tblLook w:firstColumn="1" w:firstRow="1" w:lastColumn="0" w:lastRow="0" w:noHBand="0" w:noVBand="1" w:val="04A0"/>
      </w:tblPr>
      <w:tblGrid>
        <w:gridCol w:w="3005"/>
        <w:gridCol w:w="4479"/>
        <w:gridCol w:w="2268"/>
      </w:tblGrid>
      <w:tr>
        <w:trPr>
          <w:cantSplit/>
          <w:tblHeader w:val="true"/>
        </w:trPr>
        <w:tc>
          <w:tcPr>
            <w:tcW w:type="dxa" w:w="300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E6EAF0"/>
          </w:tcPr>
          <w:p>
            <w:pPr>
              <w:keepNext/>
              <w:spacing w:after="20" w:before="20" w:line="247" w:lineRule="auto"/>
              <w:jc w:val="center"/>
            </w:pPr>
            <w:r>
              <w:rPr>
                <w:rFonts w:ascii="Arial" w:hAnsi="Arial"/>
                <w:b/>
                <w:color w:val="000000"/>
                <w:sz w:val="20"/>
              </w:rPr>
              <w:t>Punkt</w:t>
            </w:r>
          </w:p>
        </w:tc>
        <w:tc>
          <w:tcPr>
            <w:tcW w:type="dxa" w:w="4479"/>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E6EAF0"/>
          </w:tcPr>
          <w:p>
            <w:pPr>
              <w:keepNext/>
              <w:spacing w:after="20" w:before="20" w:line="247" w:lineRule="auto"/>
              <w:jc w:val="center"/>
            </w:pPr>
            <w:r>
              <w:rPr>
                <w:rFonts w:ascii="Arial" w:hAnsi="Arial"/>
                <w:b/>
                <w:color w:val="000000"/>
                <w:sz w:val="20"/>
              </w:rPr>
              <w:t>Erforderliche Bestätigung</w:t>
            </w:r>
          </w:p>
        </w:tc>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E6EAF0"/>
          </w:tcPr>
          <w:p>
            <w:pPr>
              <w:keepNext/>
              <w:spacing w:after="20" w:before="20" w:line="247" w:lineRule="auto"/>
              <w:jc w:val="center"/>
            </w:pPr>
            <w:r>
              <w:rPr>
                <w:rFonts w:ascii="Arial" w:hAnsi="Arial"/>
                <w:b/>
                <w:color w:val="000000"/>
                <w:sz w:val="20"/>
              </w:rPr>
              <w:t>Zeitpunkt</w:t>
            </w:r>
          </w:p>
        </w:tc>
      </w:tr>
      <w:tr>
        <w:trPr>
          <w:cantSplit/>
        </w:trPr>
        <w:tc>
          <w:tcPr>
            <w:tcW w:type="dxa" w:w="300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Firmenmäßige Unterzeichnung AN</w:t>
            </w:r>
          </w:p>
        </w:tc>
        <w:tc>
          <w:tcPr>
            <w:tcW w:type="dxa" w:w="4479"/>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Vertretungsberechtigte Person und Zeichnungsregel bestätigen</w:t>
            </w:r>
          </w:p>
        </w:tc>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Vor Unterzeichnung</w:t>
            </w:r>
          </w:p>
        </w:tc>
      </w:tr>
      <w:tr>
        <w:trPr>
          <w:cantSplit/>
        </w:trPr>
        <w:tc>
          <w:tcPr>
            <w:tcW w:type="dxa" w:w="300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AG Rechnungsdaten</w:t>
            </w:r>
          </w:p>
        </w:tc>
        <w:tc>
          <w:tcPr>
            <w:tcW w:type="dxa" w:w="4479"/>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UID ATU83086125; gegebenenfalls abweichende Rechnungsadresse bestätigen</w:t>
            </w:r>
          </w:p>
        </w:tc>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Vor Unterzeichnung</w:t>
            </w:r>
          </w:p>
        </w:tc>
      </w:tr>
      <w:tr>
        <w:trPr>
          <w:cantSplit/>
        </w:trPr>
        <w:tc>
          <w:tcPr>
            <w:tcW w:type="dxa" w:w="300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Plan- und Dokumentenliste</w:t>
            </w:r>
          </w:p>
        </w:tc>
        <w:tc>
          <w:tcPr>
            <w:tcW w:type="dxa" w:w="4479"/>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Datei, Index, Datum, Empfang; aktuellen Architekturstand bestätigen</w:t>
            </w:r>
          </w:p>
        </w:tc>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Vor T0 / binnen 3 Werktagen nach Zugang</w:t>
            </w:r>
          </w:p>
        </w:tc>
      </w:tr>
      <w:tr>
        <w:trPr>
          <w:cantSplit/>
        </w:trPr>
        <w:tc>
          <w:tcPr>
            <w:tcW w:type="dxa" w:w="300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Projektleiter/Stellvertretung</w:t>
            </w:r>
          </w:p>
        </w:tc>
        <w:tc>
          <w:tcPr>
            <w:tcW w:type="dxa" w:w="4479"/>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Namen, aufrechte Befugnisse, Aufgaben und Kontakte</w:t>
            </w:r>
          </w:p>
        </w:tc>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Vor Unterzeichnung</w:t>
            </w:r>
          </w:p>
        </w:tc>
      </w:tr>
      <w:tr>
        <w:trPr>
          <w:cantSplit/>
        </w:trPr>
        <w:tc>
          <w:tcPr>
            <w:tcW w:type="dxa" w:w="300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Prüfingenieur/Prüfperson</w:t>
            </w:r>
          </w:p>
        </w:tc>
        <w:tc>
          <w:tcPr>
            <w:tcW w:type="dxa" w:w="4479"/>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Gesetzlich geeigneter Ziviltechniker oder gerichtlicher Sachverständiger, Unabhängigkeit und Bestellunterlagen; gesondert befugter Ziviltechniker für § 128 Bestätigung.</w:t>
            </w:r>
          </w:p>
        </w:tc>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Vor Unterzeichnung; gesetzlich rechtzeitig vor Baubeginn</w:t>
            </w:r>
          </w:p>
        </w:tc>
      </w:tr>
      <w:tr>
        <w:trPr>
          <w:cantSplit/>
        </w:trPr>
        <w:tc>
          <w:tcPr>
            <w:tcW w:type="dxa" w:w="300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Bauwerksbuch-Personen</w:t>
            </w:r>
          </w:p>
        </w:tc>
        <w:tc>
          <w:tcPr>
            <w:tcW w:type="dxa" w:w="4479"/>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Autor und Erstprüfer nach § 128a; Befugnis und Unabhängigkeit von Bauwerber/Bauführer/Eigentümer; Umfang, Erstprüfung, nächste Prüfung, Mängelbehebungsplan und genaue Frist/Meldepflicht.</w:t>
            </w:r>
          </w:p>
        </w:tc>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Vor Unterzeichnung</w:t>
            </w:r>
          </w:p>
        </w:tc>
      </w:tr>
      <w:tr>
        <w:trPr>
          <w:cantSplit/>
        </w:trPr>
        <w:tc>
          <w:tcPr>
            <w:tcW w:type="dxa" w:w="300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Versicherungsnachweis</w:t>
            </w:r>
          </w:p>
        </w:tc>
        <w:tc>
          <w:tcPr>
            <w:tcW w:type="dxa" w:w="4479"/>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Versicherer, Polizze, Deckungen, Aggregat, Selbstbehalt, Laufzeit, Nachdeckung und Funktionen; Mindestdeckung vereinbaren</w:t>
            </w:r>
          </w:p>
        </w:tc>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Vor Unterzeichnung</w:t>
            </w:r>
          </w:p>
        </w:tc>
      </w:tr>
      <w:tr>
        <w:trPr>
          <w:cantSplit/>
        </w:trPr>
        <w:tc>
          <w:tcPr>
            <w:tcW w:type="dxa" w:w="300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T0/Baustart/D2-D5</w:t>
            </w:r>
          </w:p>
        </w:tc>
        <w:tc>
          <w:tcPr>
            <w:tcW w:type="dxa" w:w="4479"/>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Tatsächliche Termine und verbindliche Dossier-/Beschauplanung</w:t>
            </w:r>
          </w:p>
        </w:tc>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6F7F9"/>
          </w:tcPr>
          <w:p>
            <w:pPr>
              <w:keepNext w:val="0"/>
              <w:spacing w:after="20" w:before="20" w:line="247" w:lineRule="auto"/>
              <w:jc w:val="left"/>
            </w:pPr>
            <w:r>
              <w:rPr>
                <w:rFonts w:ascii="Arial" w:hAnsi="Arial"/>
                <w:b w:val="0"/>
                <w:color w:val="000000"/>
                <w:sz w:val="20"/>
              </w:rPr>
              <w:t>Vor Unterzeichnung beziehungsweise binnen 5 Werktagen ab T0 wie vereinbart</w:t>
            </w:r>
          </w:p>
        </w:tc>
      </w:tr>
      <w:tr>
        <w:trPr>
          <w:cantSplit/>
        </w:trPr>
        <w:tc>
          <w:tcPr>
            <w:tcW w:type="dxa" w:w="3005"/>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Vollständige Annahme des Mehrumfangs</w:t>
            </w:r>
          </w:p>
        </w:tc>
        <w:tc>
          <w:tcPr>
            <w:tcW w:type="dxa" w:w="4479"/>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Ausdrückliche Annahme aller Erweiterungen innerhalb 69.300 EUR netto; Abweichungen gegebenenfalls beiderseitig zeichnen</w:t>
            </w:r>
          </w:p>
        </w:tc>
        <w:tc>
          <w:tcPr>
            <w:tcW w:type="dxa" w:w="2268"/>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20" w:before="20" w:line="247" w:lineRule="auto"/>
              <w:jc w:val="left"/>
            </w:pPr>
            <w:r>
              <w:rPr>
                <w:rFonts w:ascii="Arial" w:hAnsi="Arial"/>
                <w:b w:val="0"/>
                <w:color w:val="000000"/>
                <w:sz w:val="20"/>
              </w:rPr>
              <w:t>Vor Unterzeichnung</w:t>
            </w:r>
          </w:p>
        </w:tc>
      </w:tr>
    </w:tbl>
    <w:p>
      <w:pPr>
        <w:spacing w:after="40"/>
      </w:pPr>
    </w:p>
    <w:p>
      <w:pPr>
        <w:pStyle w:val="Heading1"/>
      </w:pPr>
      <w:r>
        <w:t>Originalangebot 2026 470 AN01 vom 2026.09.17 vier Seiten</w:t>
      </w:r>
    </w:p>
    <w:p>
      <w:r>
        <w:t>Das unverändert beigefügte Originalangebot 2026-470/AN01 vom 2026.09.17 umfasst vier Seiten und ist als Datei 2026.10.12 Oferta originala PECH 2026.09.17.pdf beigefügt. Für abweichende Bedingungen gilt die ausdrücklich vereinbarte Rangordnung dieses Vertragsangebots.</w:t>
      </w:r>
    </w:p>
    <w:sectPr w:rsidR="00FC693F" w:rsidRPr="0006063C" w:rsidSect="00034616">
      <w:footerReference w:type="default" r:id="rId9"/>
      <w:pgSz w:w="12240" w:h="15840"/>
      <w:pgMar w:top="1134" w:right="1247" w:bottom="1134" w:left="1247"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000000"/>
        <w:sz w:val="18"/>
      </w:rPr>
      <w:t xml:space="preserve">PECH  |  AG Entwurf 2026.10.12  |  Seite </w:t>
    </w:r>
    <w:r>
      <w:rPr>
        <w:rFonts w:ascii="Arial" w:hAnsi="Arial"/>
        <w:color w:val="000000"/>
        <w:sz w:val="18"/>
      </w:rPr>
      <w:fldChar w:fldCharType="begin"/>
    </w:r>
    <w:r>
      <w:rPr>
        <w:rFonts w:ascii="Arial" w:hAnsi="Arial"/>
        <w:color w:val="000000"/>
        <w:sz w:val="18"/>
      </w:rPr>
      <w:instrText xml:space="preserve"> PAGE </w:instrText>
    </w:r>
    <w:r>
      <w:rPr>
        <w:rFonts w:ascii="Arial" w:hAnsi="Arial"/>
        <w:color w:val="000000"/>
        <w:sz w:val="18"/>
      </w:rPr>
      <w:fldChar w:fldCharType="end"/>
    </w:r>
    <w:r>
      <w:rPr>
        <w:rFonts w:ascii="Arial" w:hAnsi="Arial"/>
        <w:color w:val="000000"/>
        <w:sz w:val="18"/>
      </w:rPr>
      <w:t xml:space="preserve"> von </w:t>
    </w:r>
    <w:r>
      <w:rPr>
        <w:rFonts w:ascii="Arial" w:hAnsi="Arial"/>
        <w:color w:val="000000"/>
        <w:sz w:val="18"/>
      </w:rPr>
      <w:fldChar w:fldCharType="begin"/>
    </w:r>
    <w:r>
      <w:rPr>
        <w:rFonts w:ascii="Arial" w:hAnsi="Arial"/>
        <w:color w:val="000000"/>
        <w:sz w:val="18"/>
      </w:rPr>
      <w:instrText xml:space="preserve"> NUMPAGES </w:instrText>
    </w:r>
    <w:r>
      <w:rPr>
        <w:rFonts w:ascii="Arial" w:hAnsi="Arial"/>
        <w:color w:val="000000"/>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64" w:lineRule="auto"/>
    </w:pPr>
    <w:rPr>
      <w:rFonts w:ascii="Times New Roman" w:hAnsi="Times New Roman"/>
      <w:color w:val="000000"/>
      <w:sz w:val="23"/>
      <w:lang w:val="de-AT"/>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40" w:before="0"/>
    </w:pPr>
    <w:rPr>
      <w:rFonts w:asciiTheme="majorHAnsi" w:eastAsiaTheme="majorEastAsia" w:hAnsiTheme="majorHAnsi" w:cstheme="majorBidi" w:ascii="Arial" w:hAnsi="Arial"/>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Vertragsvorschlag PECH Schallergasse 35</dc:title>
  <dc:subject>Tragwerksplanung Prüfingenieur und Bauwerksbuch</dc:subject>
  <dc:creator>A&amp;C Wohnart Immobilien GmbH</dc:creator>
  <cp:keywords>AG Entwurf 2026.10.12 Nicht unterzeichnet Nicht versendet</cp:keywords>
  <dc:description/>
  <cp:lastModifiedBy/>
  <cp:revision>1</cp:revision>
  <dcterms:created xsi:type="dcterms:W3CDTF">2013-12-23T23:15:00Z</dcterms:created>
  <dcterms:modified xsi:type="dcterms:W3CDTF">2013-12-23T23:15:00Z</dcterms:modified>
  <cp:category/>
</cp:coreProperties>
</file>