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05696" w14:textId="77777777" w:rsidR="00587BC9" w:rsidRDefault="00587BC9">
      <w:pPr>
        <w:pStyle w:val="Titlu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Comparație: „Raport profesional privind cadrul fiscal" vs. livrabilele EVA — și îmbunătățirile aplicate</w:t>
      </w:r>
    </w:p>
    <w:p w14:paraId="677694CD" w14:textId="77777777" w:rsidR="00587BC9" w:rsidRDefault="00587BC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Data:</w:t>
      </w:r>
      <w:r>
        <w:rPr>
          <w:rFonts w:ascii="Calibri" w:hAnsi="Calibri" w:cs="Calibri"/>
          <w:color w:val="1A1A1A"/>
          <w:sz w:val="21"/>
          <w:szCs w:val="21"/>
        </w:rPr>
        <w:t xml:space="preserve"> 3 august 2026. Compară raportul primit (</w:t>
      </w:r>
      <w:r>
        <w:rPr>
          <w:rStyle w:val="CodHTML"/>
        </w:rPr>
        <w:t>Raport profesional privind evoluția, conformarea și îmbunătățirea cadrului fiscal din România.pdf</w:t>
      </w:r>
      <w:r>
        <w:rPr>
          <w:rFonts w:ascii="Calibri" w:hAnsi="Calibri" w:cs="Calibri"/>
          <w:color w:val="1A1A1A"/>
          <w:sz w:val="21"/>
          <w:szCs w:val="21"/>
        </w:rPr>
        <w:t>, 19 pagini) cu livrabilele EVA (Excel + GHID) și consemnează modificările aplicate.</w:t>
      </w:r>
    </w:p>
    <w:p w14:paraId="4B377448" w14:textId="77777777" w:rsidR="00587BC9" w:rsidRDefault="00587BC9">
      <w:pPr>
        <w:spacing w:before="180" w:after="1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4556C7C2">
          <v:rect id="_x0000_i1025" style="width:0;height:1.5pt" o:hralign="center" o:hrstd="t" o:hr="t" fillcolor="#a0a0a0" stroked="f"/>
        </w:pict>
      </w:r>
    </w:p>
    <w:p w14:paraId="2974D901" w14:textId="77777777" w:rsidR="00587BC9" w:rsidRDefault="00587BC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Verdict general</w:t>
      </w:r>
    </w:p>
    <w:p w14:paraId="02B5D5F5" w14:textId="77777777" w:rsidR="00587BC9" w:rsidRDefault="00587BC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Raportul este o piesă profesională de calitate (analiză juridică + fiscală + audit, cu citări CJUE/ÎCCJ, ATAD, DAC, Pilon II). </w:t>
      </w:r>
      <w:r>
        <w:rPr>
          <w:rStyle w:val="Robust"/>
          <w:rFonts w:ascii="Calibri" w:hAnsi="Calibri" w:cs="Calibri"/>
          <w:sz w:val="21"/>
          <w:szCs w:val="21"/>
        </w:rPr>
        <w:t>Punctul esențial: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el a fost construit </w:t>
      </w:r>
      <w:r>
        <w:rPr>
          <w:rStyle w:val="Accentuat"/>
          <w:rFonts w:ascii="Calibri" w:hAnsi="Calibri" w:cs="Calibri"/>
          <w:color w:val="1A1A1A"/>
          <w:sz w:val="21"/>
          <w:szCs w:val="21"/>
        </w:rPr>
        <w:t>pornind de la fișierele EVA</w:t>
      </w:r>
      <w:r>
        <w:rPr>
          <w:rFonts w:ascii="Calibri" w:hAnsi="Calibri" w:cs="Calibri"/>
          <w:color w:val="1A1A1A"/>
          <w:sz w:val="21"/>
          <w:szCs w:val="21"/>
        </w:rPr>
        <w:t xml:space="preserve"> și le </w:t>
      </w:r>
      <w:r>
        <w:rPr>
          <w:rStyle w:val="Robust"/>
          <w:rFonts w:ascii="Calibri" w:hAnsi="Calibri" w:cs="Calibri"/>
          <w:sz w:val="21"/>
          <w:szCs w:val="21"/>
        </w:rPr>
        <w:t>validează explicit modelul de date</w:t>
      </w:r>
      <w:r>
        <w:rPr>
          <w:rFonts w:ascii="Calibri" w:hAnsi="Calibri" w:cs="Calibri"/>
          <w:color w:val="1A1A1A"/>
          <w:sz w:val="21"/>
          <w:szCs w:val="21"/>
        </w:rPr>
        <w:t>:</w:t>
      </w:r>
    </w:p>
    <w:p w14:paraId="14DDBC46" w14:textId="77777777" w:rsidR="00587BC9" w:rsidRDefault="00587BC9">
      <w:pPr>
        <w:pStyle w:val="NormalWeb"/>
        <w:shd w:val="clear" w:color="auto" w:fill="EEF7F0"/>
        <w:divId w:val="1428692813"/>
        <w:rPr>
          <w:rFonts w:ascii="Calibri" w:hAnsi="Calibri" w:cs="Calibri"/>
          <w:color w:val="333333"/>
          <w:sz w:val="21"/>
          <w:szCs w:val="21"/>
        </w:rPr>
      </w:pPr>
      <w:r>
        <w:rPr>
          <w:rFonts w:ascii="Calibri" w:hAnsi="Calibri" w:cs="Calibri"/>
          <w:color w:val="333333"/>
          <w:sz w:val="21"/>
          <w:szCs w:val="21"/>
        </w:rPr>
        <w:t>„Modelul propus în fișierele furnizate corespunde acestei abordări: actele normative, parametrii, versiunile parametrilor, declarațiile, versiunile declarațiilor, obligațiile de depunere și calendarul de închidere sunt entități separate, legate prin chei și perioade de valabilitate."</w:t>
      </w:r>
    </w:p>
    <w:p w14:paraId="198C799D" w14:textId="77777777" w:rsidR="00587BC9" w:rsidRDefault="00587BC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Deci </w:t>
      </w:r>
      <w:r>
        <w:rPr>
          <w:rStyle w:val="Robust"/>
          <w:rFonts w:ascii="Calibri" w:hAnsi="Calibri" w:cs="Calibri"/>
          <w:sz w:val="21"/>
          <w:szCs w:val="21"/>
        </w:rPr>
        <w:t>structura noastră este corectă</w:t>
      </w:r>
      <w:r>
        <w:rPr>
          <w:rFonts w:ascii="Calibri" w:hAnsi="Calibri" w:cs="Calibri"/>
          <w:color w:val="1A1A1A"/>
          <w:sz w:val="21"/>
          <w:szCs w:val="21"/>
        </w:rPr>
        <w:t xml:space="preserve">. Raportul aduce însă: (a) </w:t>
      </w:r>
      <w:r>
        <w:rPr>
          <w:rStyle w:val="Robust"/>
          <w:rFonts w:ascii="Calibri" w:hAnsi="Calibri" w:cs="Calibri"/>
          <w:sz w:val="21"/>
          <w:szCs w:val="21"/>
        </w:rPr>
        <w:t>corecții</w:t>
      </w:r>
      <w:r>
        <w:rPr>
          <w:rFonts w:ascii="Calibri" w:hAnsi="Calibri" w:cs="Calibri"/>
          <w:color w:val="1A1A1A"/>
          <w:sz w:val="21"/>
          <w:szCs w:val="21"/>
        </w:rPr>
        <w:t xml:space="preserve"> de atribuire legală, (b) </w:t>
      </w:r>
      <w:r>
        <w:rPr>
          <w:rStyle w:val="Robust"/>
          <w:rFonts w:ascii="Calibri" w:hAnsi="Calibri" w:cs="Calibri"/>
          <w:sz w:val="21"/>
          <w:szCs w:val="21"/>
        </w:rPr>
        <w:t>completări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(jurisprudență, riscuri, arii fiscale noi), (c) o </w:t>
      </w:r>
      <w:r>
        <w:rPr>
          <w:rStyle w:val="Robust"/>
          <w:rFonts w:ascii="Calibri" w:hAnsi="Calibri" w:cs="Calibri"/>
          <w:sz w:val="21"/>
          <w:szCs w:val="21"/>
        </w:rPr>
        <w:t>componentă narativă/consultanță</w:t>
      </w:r>
      <w:r>
        <w:rPr>
          <w:rFonts w:ascii="Calibri" w:hAnsi="Calibri" w:cs="Calibri"/>
          <w:color w:val="1A1A1A"/>
          <w:sz w:val="21"/>
          <w:szCs w:val="21"/>
        </w:rPr>
        <w:t xml:space="preserve"> pe care Excel-ul nu o conținea.</w:t>
      </w:r>
    </w:p>
    <w:p w14:paraId="3D223EA6" w14:textId="77777777" w:rsidR="00587BC9" w:rsidRDefault="00587BC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Concluzie:</w:t>
      </w:r>
      <w:r>
        <w:rPr>
          <w:rFonts w:ascii="Calibri" w:hAnsi="Calibri" w:cs="Calibri"/>
          <w:color w:val="1A1A1A"/>
          <w:sz w:val="21"/>
          <w:szCs w:val="21"/>
        </w:rPr>
        <w:t xml:space="preserve"> cele două sunt complementare. Am integrat corecțiile și completările structurabile în Excel (v2) și am păstrat raportul ca strat narativ/juridic.</w:t>
      </w:r>
    </w:p>
    <w:p w14:paraId="65CA2C23" w14:textId="77777777" w:rsidR="00587BC9" w:rsidRDefault="00587BC9">
      <w:pPr>
        <w:spacing w:before="180" w:after="1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2D3A43FB">
          <v:rect id="_x0000_i1026" style="width:0;height:1.5pt" o:hralign="center" o:hrstd="t" o:hr="t" fillcolor="#a0a0a0" stroked="f"/>
        </w:pict>
      </w:r>
    </w:p>
    <w:p w14:paraId="180C1FA5" w14:textId="77777777" w:rsidR="00587BC9" w:rsidRDefault="00587BC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Corecții aplicate (raportul avea dreptate — rânduri </w:t>
      </w:r>
      <w:r>
        <w:rPr>
          <w:rFonts w:ascii="Segoe UI Emoji" w:eastAsia="Times New Roman" w:hAnsi="Segoe UI Emoji" w:cs="Segoe UI Emoji"/>
        </w:rPr>
        <w:t>⚠️</w:t>
      </w:r>
      <w:r>
        <w:rPr>
          <w:rFonts w:ascii="Calibri" w:eastAsia="Times New Roman" w:hAnsi="Calibri" w:cs="Calibri"/>
        </w:rPr>
        <w:t xml:space="preserve"> rezolvate)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2430"/>
        <w:gridCol w:w="3881"/>
        <w:gridCol w:w="1226"/>
      </w:tblGrid>
      <w:tr w:rsidR="00000000" w14:paraId="6145F29E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426CA1F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F24BE2E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În EVA v1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FA0F062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Corectat în EVA v2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C32BB3E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Sursă (raport)</w:t>
            </w:r>
          </w:p>
        </w:tc>
      </w:tr>
      <w:tr w:rsidR="00000000" w14:paraId="111CD7D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37980F9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Dividende 10% (2025)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55A7AC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act neconfirmat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C0E5BCF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OUG 156/2024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E4E473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confirmat</w:t>
            </w:r>
          </w:p>
        </w:tc>
      </w:tr>
      <w:tr w:rsidR="00000000" w14:paraId="5168537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A91E2B9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Micro 1% unic (2026)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9B397D7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atribuit Legii 141/2025 (greșit)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9D4FBA2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OUG 89/2025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(plafonul 100.000 € din evoluția CF)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AC6383C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confirmat</w:t>
            </w:r>
          </w:p>
        </w:tc>
      </w:tr>
      <w:tr w:rsidR="00000000" w14:paraId="3727878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A565425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Plafon scutire TVA 395.000 lei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CE6E276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„Ordonanța 22/2025"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8AAC99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OG 22/2025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(formulare corectă)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30C3A5A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confirmat</w:t>
            </w:r>
          </w:p>
        </w:tc>
      </w:tr>
      <w:tr w:rsidR="00000000" w14:paraId="532DDAC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882BFB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Concediu medical 55/65/75%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D0BE40C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din 1 aug 2025 </w:t>
            </w:r>
            <w:r>
              <w:rPr>
                <w:rFonts w:ascii="Segoe UI Emoji" w:eastAsia="Times New Roman" w:hAnsi="Segoe UI Emoji" w:cs="Segoe UI Emoji"/>
                <w:color w:val="1A1A1A"/>
                <w:sz w:val="18"/>
                <w:szCs w:val="18"/>
              </w:rPr>
              <w:t>⚠️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C386C1E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din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 iul 2026, OUG 89/2025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B987783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confirmat</w:t>
            </w:r>
          </w:p>
        </w:tc>
      </w:tr>
      <w:tr w:rsidR="00000000" w14:paraId="0727627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12E8CE9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Impozit pe construcții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1E09C37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absent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0D5AE16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adăugat: </w:t>
            </w: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1%, din 2025, OUG 156/2024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0848677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confirmat</w:t>
            </w:r>
          </w:p>
        </w:tc>
      </w:tr>
    </w:tbl>
    <w:p w14:paraId="0CF943E7" w14:textId="77777777" w:rsidR="00587BC9" w:rsidRDefault="00587BC9">
      <w:pPr>
        <w:spacing w:before="180" w:after="1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2F4EBA3E">
          <v:rect id="_x0000_i1027" style="width:0;height:1.5pt" o:hralign="center" o:hrstd="t" o:hr="t" fillcolor="#a0a0a0" stroked="f"/>
        </w:pict>
      </w:r>
    </w:p>
    <w:p w14:paraId="51AEB222" w14:textId="77777777" w:rsidR="00587BC9" w:rsidRDefault="00587BC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Completări integrate în Excel v2 (foi/parametri noi)</w:t>
      </w:r>
    </w:p>
    <w:p w14:paraId="35F4AB8D" w14:textId="77777777" w:rsidR="00587BC9" w:rsidRDefault="00587BC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lastRenderedPageBreak/>
        <w:t>Parametri noi</w:t>
      </w:r>
      <w:r>
        <w:rPr>
          <w:rFonts w:ascii="Calibri" w:hAnsi="Calibri" w:cs="Calibri"/>
          <w:color w:val="1A1A1A"/>
          <w:sz w:val="21"/>
          <w:szCs w:val="21"/>
        </w:rPr>
        <w:t xml:space="preserve"> (foile 20 + 21): </w:t>
      </w:r>
      <w:r>
        <w:rPr>
          <w:rStyle w:val="CodHTML"/>
        </w:rPr>
        <w:t>IMP_CONSTR</w:t>
      </w:r>
      <w:r>
        <w:rPr>
          <w:rFonts w:ascii="Calibri" w:hAnsi="Calibri" w:cs="Calibri"/>
          <w:color w:val="1A1A1A"/>
          <w:sz w:val="21"/>
          <w:szCs w:val="21"/>
        </w:rPr>
        <w:t xml:space="preserve"> (impozit construcții), </w:t>
      </w:r>
      <w:r>
        <w:rPr>
          <w:rStyle w:val="CodHTML"/>
        </w:rPr>
        <w:t>PILON2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(cotă efectivă minimă globală 15%), </w:t>
      </w:r>
      <w:r>
        <w:rPr>
          <w:rStyle w:val="CodHTML"/>
        </w:rPr>
        <w:t>IMCA</w:t>
      </w:r>
      <w:r>
        <w:rPr>
          <w:rFonts w:ascii="Calibri" w:hAnsi="Calibri" w:cs="Calibri"/>
          <w:color w:val="1A1A1A"/>
          <w:sz w:val="21"/>
          <w:szCs w:val="21"/>
        </w:rPr>
        <w:t xml:space="preserve"> (impozit minim pe cifra de afaceri).</w:t>
      </w:r>
    </w:p>
    <w:p w14:paraId="06661AF7" w14:textId="77777777" w:rsidR="00587BC9" w:rsidRDefault="00587BC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Acte noi</w:t>
      </w:r>
      <w:r>
        <w:rPr>
          <w:rFonts w:ascii="Calibri" w:hAnsi="Calibri" w:cs="Calibri"/>
          <w:color w:val="1A1A1A"/>
          <w:sz w:val="21"/>
          <w:szCs w:val="21"/>
        </w:rPr>
        <w:t xml:space="preserve"> (foaia 10): Legea 431/2023 (Pilon II), OPANAF 442/2016 (prețuri de transfer), OPANAF 3735/2015 (APA), Legea 30/2019 (ATAD), OG 5/2020 (DAC6), OG 16/2023 (DAC7), HG 1/2016 (norme CF), OMFP 2844/2016 (IFRS), OPANAF 3775/2024 &amp; 409/2026 (e-TVA), OUG 156/2024, OUG 89/2025.</w:t>
      </w:r>
    </w:p>
    <w:p w14:paraId="162527EF" w14:textId="77777777" w:rsidR="00587BC9" w:rsidRDefault="00587BC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Foi noi:</w:t>
      </w:r>
      <w:r>
        <w:rPr>
          <w:rFonts w:ascii="Calibri" w:hAnsi="Calibri" w:cs="Calibri"/>
          <w:color w:val="1A1A1A"/>
          <w:sz w:val="21"/>
          <w:szCs w:val="21"/>
        </w:rPr>
        <w:t xml:space="preserve"> - </w:t>
      </w:r>
      <w:r>
        <w:rPr>
          <w:rStyle w:val="CodHTML"/>
          <w:b/>
          <w:bCs/>
        </w:rPr>
        <w:t>15_Directive_UE</w:t>
      </w:r>
      <w:r>
        <w:rPr>
          <w:rFonts w:ascii="Calibri" w:hAnsi="Calibri" w:cs="Calibri"/>
          <w:color w:val="1A1A1A"/>
          <w:sz w:val="21"/>
          <w:szCs w:val="21"/>
        </w:rPr>
        <w:t xml:space="preserve"> — ATAD, DAC6/7/8, Pilon II, Directiva TVA mici întreprinderi, cu transpunerea în RO. - </w:t>
      </w:r>
      <w:r>
        <w:rPr>
          <w:rStyle w:val="CodHTML"/>
          <w:b/>
          <w:bCs/>
        </w:rPr>
        <w:t>70_Jurisprudenta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— 6 hotărâri CJUE (Tulică/Plavoșin, Salomie, Paper Consult, Siemens Gamesa, Berlin Chemie, ASA) + 5 decizii ÎCCJ (6/2026, 61/2025, 44/2024, 20/2023, 57/2024), transformate în reguli de control. - </w:t>
      </w:r>
      <w:r>
        <w:rPr>
          <w:rStyle w:val="CodHTML"/>
          <w:b/>
          <w:bCs/>
        </w:rPr>
        <w:t>80_Riscuri</w:t>
      </w:r>
      <w:r>
        <w:rPr>
          <w:rFonts w:ascii="Calibri" w:hAnsi="Calibri" w:cs="Calibri"/>
          <w:color w:val="1A1A1A"/>
          <w:sz w:val="21"/>
          <w:szCs w:val="21"/>
        </w:rPr>
        <w:t xml:space="preserve"> — matrice de riscuri (scor = probabilitate × impact, 20–25 critic) cu control-cheie și țintă reziduală. - </w:t>
      </w:r>
      <w:r>
        <w:rPr>
          <w:rStyle w:val="CodHTML"/>
          <w:b/>
          <w:bCs/>
        </w:rPr>
        <w:t>90_Reconcilieri</w:t>
      </w:r>
      <w:r>
        <w:rPr>
          <w:rFonts w:ascii="Calibri" w:hAnsi="Calibri" w:cs="Calibri"/>
          <w:color w:val="1A1A1A"/>
          <w:sz w:val="21"/>
          <w:szCs w:val="21"/>
        </w:rPr>
        <w:t xml:space="preserve"> — reconcilierile obligatorii la închidere (D300–D394–e-Factura–e-TVA, D406–balanță, state–D112 etc.), cu frecvență și toleranță.</w:t>
      </w:r>
    </w:p>
    <w:p w14:paraId="2A79CA20" w14:textId="77777777" w:rsidR="00587BC9" w:rsidRDefault="00587BC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Robust"/>
          <w:rFonts w:ascii="Calibri" w:hAnsi="Calibri" w:cs="Calibri"/>
          <w:sz w:val="21"/>
          <w:szCs w:val="21"/>
        </w:rPr>
        <w:t>Legi descărcate suplimentar</w:t>
      </w:r>
      <w:r>
        <w:rPr>
          <w:rFonts w:ascii="Calibri" w:hAnsi="Calibri" w:cs="Calibri"/>
          <w:color w:val="1A1A1A"/>
          <w:sz w:val="21"/>
          <w:szCs w:val="21"/>
        </w:rPr>
        <w:t xml:space="preserve"> </w:t>
      </w:r>
      <w:r>
        <w:rPr>
          <w:rFonts w:ascii="Calibri" w:hAnsi="Calibri" w:cs="Calibri"/>
          <w:color w:val="1A1A1A"/>
          <w:sz w:val="21"/>
          <w:szCs w:val="21"/>
        </w:rPr>
        <w:t xml:space="preserve">(folosind linkurile FormaPrintabila din raport): Codul Fiscal (L227/2015), Codul de Procedură Fiscală (L207/2015), OMFP 1802/2014, OG 16/2022, Legea 296/2023, OUG 120/2021, OUG 70/2024, OUG 156/2024, OUG 89/2025, OG 22/2025, Legea 431/2023, OPANAF 442/2016 → toate în </w:t>
      </w:r>
      <w:r>
        <w:rPr>
          <w:rStyle w:val="CodHTML"/>
        </w:rPr>
        <w:t>Legislatie\</w:t>
      </w:r>
      <w:r>
        <w:rPr>
          <w:rFonts w:ascii="Calibri" w:hAnsi="Calibri" w:cs="Calibri"/>
          <w:color w:val="1A1A1A"/>
          <w:sz w:val="21"/>
          <w:szCs w:val="21"/>
        </w:rPr>
        <w:t>.</w:t>
      </w:r>
    </w:p>
    <w:p w14:paraId="1D4C0059" w14:textId="77777777" w:rsidR="00587BC9" w:rsidRDefault="00587BC9">
      <w:pPr>
        <w:spacing w:before="180" w:after="1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7A4BAFFE">
          <v:rect id="_x0000_i1028" style="width:0;height:1.5pt" o:hralign="center" o:hrstd="t" o:hr="t" fillcolor="#a0a0a0" stroked="f"/>
        </w:pict>
      </w:r>
    </w:p>
    <w:p w14:paraId="07B61E31" w14:textId="77777777" w:rsidR="00587BC9" w:rsidRDefault="00587BC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Ce aduce raportul în plus și NU se pune într-o celulă (rămâne în stratul narativ)</w:t>
      </w:r>
    </w:p>
    <w:p w14:paraId="70B0F8B1" w14:textId="77777777" w:rsidR="00587BC9" w:rsidRDefault="00587BC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Analiză pe domenii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>(profit/IMCA, Pilon II, TVA, deducere, e-reporting, payroll, dividende, prețuri de transfer, accize, taxe locale, DAC, ATAD) cu controale recomandate.</w:t>
      </w:r>
    </w:p>
    <w:p w14:paraId="504195A9" w14:textId="77777777" w:rsidR="00587BC9" w:rsidRDefault="00587BC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Metodologie „normă–regulă–date–control–probă"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și arhitectura echipei (jurist fiscal / economist / auditor + suport date/ERP), cu criterii de selecție și separarea rolurilor (four-eyes).</w:t>
      </w:r>
    </w:p>
    <w:p w14:paraId="7F175BDE" w14:textId="77777777" w:rsidR="00587BC9" w:rsidRDefault="00587BC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Foaie de parcurs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pe faze (mobilizare → validare registru → diagnostic → remediere → IT → audit → operare) cu estimare </w:t>
      </w:r>
      <w:r>
        <w:rPr>
          <w:rStyle w:val="Robust"/>
          <w:rFonts w:ascii="Calibri" w:eastAsia="Times New Roman" w:hAnsi="Calibri" w:cs="Calibri"/>
          <w:sz w:val="21"/>
          <w:szCs w:val="21"/>
        </w:rPr>
        <w:t>455–1.015 zile-om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și indicatori de succes.</w:t>
      </w:r>
    </w:p>
    <w:p w14:paraId="3E2C4DEF" w14:textId="77777777" w:rsidR="00587BC9" w:rsidRDefault="00587BC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Checklist de audit fiscal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(A-01…A-24), procedură de închidere (TAX-CLOSE-01), procedură de modificare a unui parametru, fișă de jurisprudență.</w:t>
      </w:r>
    </w:p>
    <w:p w14:paraId="44B68E15" w14:textId="77777777" w:rsidR="00587BC9" w:rsidRDefault="00587BC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Style w:val="Robust"/>
          <w:rFonts w:ascii="Calibri" w:eastAsia="Times New Roman" w:hAnsi="Calibri" w:cs="Calibri"/>
          <w:sz w:val="21"/>
          <w:szCs w:val="21"/>
        </w:rPr>
        <w:t>Măsuri de politică publică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recomandate ANAF/MF (portal unic, jurnal de modificări XSD, mediu de test permanent, remediere voluntară).</w:t>
      </w:r>
    </w:p>
    <w:p w14:paraId="2A75A7AD" w14:textId="77777777" w:rsidR="00587BC9" w:rsidRDefault="00587BC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Fonts w:ascii="Calibri" w:hAnsi="Calibri" w:cs="Calibri"/>
          <w:color w:val="1A1A1A"/>
          <w:sz w:val="21"/>
          <w:szCs w:val="21"/>
        </w:rPr>
        <w:t xml:space="preserve">Aceste elemente sunt </w:t>
      </w:r>
      <w:r>
        <w:rPr>
          <w:rStyle w:val="Robust"/>
          <w:rFonts w:ascii="Calibri" w:hAnsi="Calibri" w:cs="Calibri"/>
          <w:sz w:val="21"/>
          <w:szCs w:val="21"/>
        </w:rPr>
        <w:t>valoroase ca metodologie de implementare</w:t>
      </w:r>
      <w:r>
        <w:rPr>
          <w:rFonts w:ascii="Calibri" w:hAnsi="Calibri" w:cs="Calibri"/>
          <w:color w:val="1A1A1A"/>
          <w:sz w:val="21"/>
          <w:szCs w:val="21"/>
        </w:rPr>
        <w:t>; se folosesc împreună cu Excel-ul (datele) și GHID-ul (modelul).</w:t>
      </w:r>
    </w:p>
    <w:p w14:paraId="7EAE6ED6" w14:textId="77777777" w:rsidR="00587BC9" w:rsidRDefault="00587BC9">
      <w:pPr>
        <w:spacing w:before="180" w:after="1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44AB8A73">
          <v:rect id="_x0000_i1029" style="width:0;height:1.5pt" o:hralign="center" o:hrstd="t" o:hr="t" fillcolor="#a0a0a0" stroked="f"/>
        </w:pict>
      </w:r>
    </w:p>
    <w:p w14:paraId="04DF0387" w14:textId="77777777" w:rsidR="00587BC9" w:rsidRDefault="00587BC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Divergențe / puncte de reținut</w:t>
      </w:r>
    </w:p>
    <w:p w14:paraId="7A970836" w14:textId="77777777" w:rsidR="00587BC9" w:rsidRDefault="00587BC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Raportul menționează că regimul micro cu </w:t>
      </w:r>
      <w:r>
        <w:rPr>
          <w:rStyle w:val="Robust"/>
          <w:rFonts w:ascii="Calibri" w:eastAsia="Times New Roman" w:hAnsi="Calibri" w:cs="Calibri"/>
          <w:sz w:val="21"/>
          <w:szCs w:val="21"/>
        </w:rPr>
        <w:t>cotă unică 1% în 2026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provine din </w:t>
      </w:r>
      <w:r>
        <w:rPr>
          <w:rStyle w:val="Robust"/>
          <w:rFonts w:ascii="Calibri" w:eastAsia="Times New Roman" w:hAnsi="Calibri" w:cs="Calibri"/>
          <w:sz w:val="21"/>
          <w:szCs w:val="21"/>
        </w:rPr>
        <w:t>OUG 89/2025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, iar </w:t>
      </w:r>
      <w:r>
        <w:rPr>
          <w:rStyle w:val="Robust"/>
          <w:rFonts w:ascii="Calibri" w:eastAsia="Times New Roman" w:hAnsi="Calibri" w:cs="Calibri"/>
          <w:sz w:val="21"/>
          <w:szCs w:val="21"/>
        </w:rPr>
        <w:t>plafonul de 100.000 €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era deja în evoluția Codului fiscal — nu direct din Legea 141/2025 (corecție aplicată).</w:t>
      </w:r>
    </w:p>
    <w:p w14:paraId="0F230C56" w14:textId="77777777" w:rsidR="00587BC9" w:rsidRDefault="00587BC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Raportul păstrează și el </w:t>
      </w:r>
      <w:r>
        <w:rPr>
          <w:rStyle w:val="Robust"/>
          <w:rFonts w:ascii="Calibri" w:eastAsia="Times New Roman" w:hAnsi="Calibri" w:cs="Calibri"/>
          <w:sz w:val="21"/>
          <w:szCs w:val="21"/>
        </w:rPr>
        <w:t>rezerva de verificare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: „nicio valoare … nu trebuie considerată definitivă până când juristul nu confirmă norma și perioada, economistul nu confirmă calculul și auditorul nu confirmă controlul". Rândurile </w:t>
      </w:r>
      <w:r>
        <w:rPr>
          <w:rStyle w:val="CodHTML"/>
          <w:rFonts w:ascii="Segoe UI Emoji" w:hAnsi="Segoe UI Emoji" w:cs="Segoe UI Emoji"/>
        </w:rPr>
        <w:t>⚠</w:t>
      </w:r>
      <w:r>
        <w:rPr>
          <w:rStyle w:val="CodHTML"/>
          <w:rFonts w:ascii="Segoe UI Emoji" w:hAnsi="Segoe UI Emoji" w:cs="Segoe UI Emoji"/>
        </w:rPr>
        <w:t>️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rămase în Excel respectă exact acest principiu.</w:t>
      </w:r>
    </w:p>
    <w:p w14:paraId="4E9CF783" w14:textId="77777777" w:rsidR="00587BC9" w:rsidRDefault="00587BC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Numerele exacte de </w:t>
      </w:r>
      <w:r>
        <w:rPr>
          <w:rStyle w:val="Robust"/>
          <w:rFonts w:ascii="Calibri" w:eastAsia="Times New Roman" w:hAnsi="Calibri" w:cs="Calibri"/>
          <w:sz w:val="21"/>
          <w:szCs w:val="21"/>
        </w:rPr>
        <w:t>Monitorul Oficial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pentru unele HG-uri vechi de salariu minim rămân </w:t>
      </w:r>
      <w:r>
        <w:rPr>
          <w:rStyle w:val="CodHTML"/>
          <w:rFonts w:ascii="Segoe UI Emoji" w:hAnsi="Segoe UI Emoji" w:cs="Segoe UI Emoji"/>
        </w:rPr>
        <w:t>⚠</w:t>
      </w:r>
      <w:r>
        <w:rPr>
          <w:rStyle w:val="CodHTML"/>
          <w:rFonts w:ascii="Segoe UI Emoji" w:hAnsi="Segoe UI Emoji" w:cs="Segoe UI Emoji"/>
        </w:rPr>
        <w:t>️</w:t>
      </w:r>
      <w:r>
        <w:rPr>
          <w:rFonts w:ascii="Calibri" w:eastAsia="Times New Roman" w:hAnsi="Calibri" w:cs="Calibri"/>
          <w:color w:val="1A1A1A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A1A1A"/>
          <w:sz w:val="21"/>
          <w:szCs w:val="21"/>
        </w:rPr>
        <w:t>(raportul nu le detaliază; se confirmă din textele descărcate).</w:t>
      </w:r>
    </w:p>
    <w:p w14:paraId="76D0463C" w14:textId="77777777" w:rsidR="00587BC9" w:rsidRDefault="00587BC9">
      <w:pPr>
        <w:spacing w:before="180" w:after="1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03EB3C44">
          <v:rect id="_x0000_i1030" style="width:0;height:1.5pt" o:hralign="center" o:hrstd="t" o:hr="t" fillcolor="#a0a0a0" stroked="f"/>
        </w:pict>
      </w:r>
    </w:p>
    <w:p w14:paraId="2F237059" w14:textId="77777777" w:rsidR="00587BC9" w:rsidRDefault="00587BC9">
      <w:pPr>
        <w:pStyle w:val="Titlu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Stare finală a livrabilelor (v2)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7"/>
        <w:gridCol w:w="5643"/>
      </w:tblGrid>
      <w:tr w:rsidR="00000000" w14:paraId="1FCEED41" w14:textId="77777777">
        <w:trPr>
          <w:tblHeader/>
        </w:trPr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D99C63E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Livrabil</w:t>
            </w:r>
          </w:p>
        </w:tc>
        <w:tc>
          <w:tcPr>
            <w:tcW w:w="0" w:type="auto"/>
            <w:tcBorders>
              <w:top w:val="single" w:sz="6" w:space="0" w:color="99CCBB"/>
              <w:left w:val="single" w:sz="6" w:space="0" w:color="99CCBB"/>
              <w:bottom w:val="single" w:sz="6" w:space="0" w:color="99CCBB"/>
              <w:right w:val="single" w:sz="6" w:space="0" w:color="99CCBB"/>
            </w:tcBorders>
            <w:shd w:val="clear" w:color="auto" w:fill="2E74B5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F573668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Stare</w:t>
            </w:r>
          </w:p>
        </w:tc>
      </w:tr>
      <w:tr w:rsidR="00000000" w14:paraId="5522601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6070964D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EVA-contab - Parametri fiscali si declaratii versionate (2010-2026).xlsx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A42F0F2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v2 — 13 foi, 88 versiuni de parametri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(corecții + Pilon II/IMCA/construcții + directive UE + jurisprudență + riscuri + reconcilieri)</w:t>
            </w:r>
          </w:p>
        </w:tc>
      </w:tr>
      <w:tr w:rsidR="00000000" w14:paraId="16B34A0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22CDF71A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GHID - Model de date, calendar de inchidere si declaratii.docx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528D6D9F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model de date + calendar + narativ</w:t>
            </w:r>
          </w:p>
        </w:tc>
      </w:tr>
      <w:tr w:rsidR="00000000" w14:paraId="577A560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772C8DAA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Acest document </w:t>
            </w:r>
            <w:r>
              <w:rPr>
                <w:rStyle w:val="CodHTML"/>
              </w:rPr>
              <w:t>COMPARATIE ...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343B4C3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comparația și îmbunătățirile</w:t>
            </w:r>
          </w:p>
        </w:tc>
      </w:tr>
      <w:tr w:rsidR="00000000" w14:paraId="172D5CE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B427B46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Legislatie\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107FF02B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Robust"/>
                <w:rFonts w:ascii="Calibri" w:eastAsia="Times New Roman" w:hAnsi="Calibri" w:cs="Calibri"/>
                <w:sz w:val="18"/>
                <w:szCs w:val="18"/>
              </w:rPr>
              <w:t>26 fișiere</w:t>
            </w: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 xml:space="preserve"> de legi (incl. cele descărcate suplimentar din linkurile raportului)</w:t>
            </w:r>
          </w:p>
        </w:tc>
      </w:tr>
      <w:tr w:rsidR="00000000" w14:paraId="5B27022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251644E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Formulare (modele necompletate)\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4781D722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30 modele ANAF, pe 5 domenii</w:t>
            </w:r>
          </w:p>
        </w:tc>
      </w:tr>
      <w:tr w:rsidR="00000000" w14:paraId="66CFB7C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028B557D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Style w:val="CodHTML"/>
              </w:rPr>
              <w:t>Raport profesional ... .pdf/.docx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14:paraId="365B476B" w14:textId="77777777" w:rsidR="00587BC9" w:rsidRDefault="00587BC9">
            <w:pPr>
              <w:spacing w:before="90" w:after="90"/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1A1A1A"/>
                <w:sz w:val="18"/>
                <w:szCs w:val="18"/>
              </w:rPr>
              <w:t>păstrat ca strat narativ/consultanță</w:t>
            </w:r>
          </w:p>
        </w:tc>
      </w:tr>
    </w:tbl>
    <w:p w14:paraId="49C93676" w14:textId="77777777" w:rsidR="00587BC9" w:rsidRDefault="00587BC9">
      <w:pPr>
        <w:spacing w:before="180" w:after="180"/>
        <w:rPr>
          <w:rFonts w:ascii="Calibri" w:eastAsia="Times New Roman" w:hAnsi="Calibri" w:cs="Calibri"/>
          <w:color w:val="1A1A1A"/>
          <w:sz w:val="21"/>
          <w:szCs w:val="21"/>
        </w:rPr>
      </w:pPr>
      <w:r>
        <w:rPr>
          <w:rFonts w:ascii="Calibri" w:eastAsia="Times New Roman" w:hAnsi="Calibri" w:cs="Calibri"/>
          <w:color w:val="1A1A1A"/>
          <w:sz w:val="21"/>
          <w:szCs w:val="21"/>
        </w:rPr>
        <w:pict w14:anchorId="7273B20D">
          <v:rect id="_x0000_i1031" style="width:0;height:1.5pt" o:hralign="center" o:hrstd="t" o:hr="t" fillcolor="#a0a0a0" stroked="f"/>
        </w:pict>
      </w:r>
    </w:p>
    <w:p w14:paraId="473B346B" w14:textId="77777777" w:rsidR="00587BC9" w:rsidRDefault="00587BC9">
      <w:pPr>
        <w:pStyle w:val="NormalWeb"/>
        <w:rPr>
          <w:rFonts w:ascii="Calibri" w:hAnsi="Calibri" w:cs="Calibri"/>
          <w:color w:val="1A1A1A"/>
          <w:sz w:val="21"/>
          <w:szCs w:val="21"/>
        </w:rPr>
      </w:pPr>
      <w:r>
        <w:rPr>
          <w:rStyle w:val="Accentuat"/>
          <w:rFonts w:ascii="Calibri" w:hAnsi="Calibri" w:cs="Calibri"/>
          <w:color w:val="1A1A1A"/>
          <w:sz w:val="21"/>
          <w:szCs w:val="21"/>
        </w:rPr>
        <w:t xml:space="preserve">Recomandare: se folosesc împreună — Excel (date importabile) + GHID (model) + Raport profesional (narativ juridic/audit + metodologie de implementare). Rândurile </w:t>
      </w:r>
      <w:r>
        <w:rPr>
          <w:rStyle w:val="Accentuat"/>
          <w:rFonts w:ascii="Segoe UI Emoji" w:hAnsi="Segoe UI Emoji" w:cs="Segoe UI Emoji"/>
          <w:color w:val="1A1A1A"/>
          <w:sz w:val="21"/>
          <w:szCs w:val="21"/>
        </w:rPr>
        <w:t>⚠</w:t>
      </w:r>
      <w:r>
        <w:rPr>
          <w:rStyle w:val="Accentuat"/>
          <w:rFonts w:ascii="Segoe UI Emoji" w:hAnsi="Segoe UI Emoji" w:cs="Segoe UI Emoji"/>
          <w:color w:val="1A1A1A"/>
          <w:sz w:val="21"/>
          <w:szCs w:val="21"/>
        </w:rPr>
        <w:t>️</w:t>
      </w:r>
      <w:r>
        <w:rPr>
          <w:rStyle w:val="Accentuat"/>
          <w:rFonts w:ascii="Calibri" w:hAnsi="Calibri" w:cs="Calibri"/>
          <w:color w:val="1A1A1A"/>
          <w:sz w:val="21"/>
          <w:szCs w:val="21"/>
        </w:rPr>
        <w:t xml:space="preserve"> se validează în textele oficiale descărcate în </w:t>
      </w:r>
      <w:r>
        <w:rPr>
          <w:rStyle w:val="CodHTML"/>
          <w:i/>
          <w:iCs/>
        </w:rPr>
        <w:t>Legislatie\</w:t>
      </w:r>
      <w:r>
        <w:rPr>
          <w:rStyle w:val="Accentuat"/>
          <w:rFonts w:ascii="Calibri" w:hAnsi="Calibri" w:cs="Calibri"/>
          <w:color w:val="1A1A1A"/>
          <w:sz w:val="21"/>
          <w:szCs w:val="21"/>
        </w:rPr>
        <w:t xml:space="preserve"> înainte de producție.</w:t>
      </w:r>
    </w:p>
    <w:sectPr w:rsidR="00587BC9" w:rsidSect="00ED1DC9">
      <w:pgSz w:w="11906" w:h="16838"/>
      <w:pgMar w:top="840" w:right="960" w:bottom="840" w:left="9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F1D31"/>
    <w:multiLevelType w:val="multilevel"/>
    <w:tmpl w:val="380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132EF"/>
    <w:multiLevelType w:val="multilevel"/>
    <w:tmpl w:val="8F4E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090842">
    <w:abstractNumId w:val="0"/>
  </w:num>
  <w:num w:numId="2" w16cid:durableId="257719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DC9"/>
    <w:rsid w:val="00587BC9"/>
    <w:rsid w:val="00953A76"/>
    <w:rsid w:val="00ED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D65185F"/>
  <w15:chartTrackingRefBased/>
  <w15:docId w15:val="{81DCDF20-9BC3-4302-BB1E-220ABE3B9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lu1">
    <w:name w:val="heading 1"/>
    <w:basedOn w:val="Normal"/>
    <w:link w:val="Titlu1Caracter"/>
    <w:uiPriority w:val="9"/>
    <w:qFormat/>
    <w:pPr>
      <w:pBdr>
        <w:bottom w:val="single" w:sz="12" w:space="3" w:color="2E74B5"/>
      </w:pBdr>
      <w:spacing w:before="210" w:after="100" w:afterAutospacing="1"/>
      <w:outlineLvl w:val="0"/>
    </w:pPr>
    <w:rPr>
      <w:b/>
      <w:bCs/>
      <w:color w:val="1F3864"/>
      <w:kern w:val="36"/>
      <w:sz w:val="34"/>
      <w:szCs w:val="34"/>
    </w:rPr>
  </w:style>
  <w:style w:type="paragraph" w:styleId="Titlu2">
    <w:name w:val="heading 2"/>
    <w:basedOn w:val="Normal"/>
    <w:link w:val="Titlu2Caracter"/>
    <w:uiPriority w:val="9"/>
    <w:qFormat/>
    <w:pPr>
      <w:pBdr>
        <w:bottom w:val="single" w:sz="6" w:space="2" w:color="BDD7EE"/>
      </w:pBdr>
      <w:spacing w:before="210" w:after="100" w:afterAutospacing="1"/>
      <w:outlineLvl w:val="1"/>
    </w:pPr>
    <w:rPr>
      <w:b/>
      <w:bCs/>
      <w:color w:val="2E74B5"/>
      <w:sz w:val="26"/>
      <w:szCs w:val="2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CodHTML">
    <w:name w:val="HTML Code"/>
    <w:basedOn w:val="Fontdeparagrafimplicit"/>
    <w:uiPriority w:val="99"/>
    <w:semiHidden/>
    <w:unhideWhenUsed/>
    <w:rPr>
      <w:rFonts w:ascii="Consolas" w:eastAsiaTheme="minorEastAsia" w:hAnsi="Consolas" w:cs="Courier New" w:hint="default"/>
      <w:color w:val="AA1111"/>
      <w:sz w:val="17"/>
      <w:szCs w:val="17"/>
      <w:shd w:val="clear" w:color="auto" w:fill="F0F2F5"/>
    </w:rPr>
  </w:style>
  <w:style w:type="character" w:customStyle="1" w:styleId="Titlu1Caracter">
    <w:name w:val="Titlu 1 Caracter"/>
    <w:basedOn w:val="Fontdeparagrafimplicit"/>
    <w:link w:val="Titlu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Robust">
    <w:name w:val="Strong"/>
    <w:basedOn w:val="Fontdeparagrafimplicit"/>
    <w:uiPriority w:val="22"/>
    <w:qFormat/>
    <w:rPr>
      <w:b/>
      <w:bCs/>
      <w:color w:val="111111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Accentuat">
    <w:name w:val="Emphasis"/>
    <w:basedOn w:val="Fontdeparagrafimplici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692813">
      <w:blockQuote w:val="1"/>
      <w:marLeft w:val="0"/>
      <w:marRight w:val="0"/>
      <w:marTop w:val="75"/>
      <w:marBottom w:val="75"/>
      <w:divBdr>
        <w:top w:val="none" w:sz="0" w:space="0" w:color="auto"/>
        <w:left w:val="single" w:sz="18" w:space="8" w:color="2E8B5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848</Words>
  <Characters>4919</Characters>
  <Application>Microsoft Office Word</Application>
  <DocSecurity>4</DocSecurity>
  <Lines>40</Lines>
  <Paragraphs>11</Paragraphs>
  <ScaleCrop>false</ScaleCrop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Comparatie raport vs livrabile EVA</dc:title>
  <dc:subject/>
  <dc:creator>F2034</dc:creator>
  <cp:keywords/>
  <dc:description/>
  <cp:lastModifiedBy>F2034</cp:lastModifiedBy>
  <cp:revision>2</cp:revision>
  <dcterms:created xsi:type="dcterms:W3CDTF">2026-08-03T15:57:00Z</dcterms:created>
  <dcterms:modified xsi:type="dcterms:W3CDTF">2026-08-03T15:57:00Z</dcterms:modified>
</cp:coreProperties>
</file>