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49DF4" w14:textId="77777777" w:rsidR="00F75FE4" w:rsidRDefault="00F75FE4">
      <w:pPr>
        <w:pStyle w:val="Titlu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Plan de implementare EVA-contab ERP — nivel comparabil cu MS Dynamics 365 Business Central</w:t>
      </w:r>
    </w:p>
    <w:p w14:paraId="5D5C7307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Obiectiv strategic:</w:t>
      </w:r>
      <w:r>
        <w:rPr>
          <w:rFonts w:ascii="Calibri" w:hAnsi="Calibri" w:cs="Calibri"/>
          <w:color w:val="1A1A1A"/>
          <w:sz w:val="21"/>
          <w:szCs w:val="21"/>
        </w:rPr>
        <w:t xml:space="preserve"> transformarea EVA-contab (iDempiere 13) dintr-un ERP open-source generic într-un </w:t>
      </w:r>
      <w:r>
        <w:rPr>
          <w:rStyle w:val="Robust"/>
          <w:rFonts w:ascii="Calibri" w:hAnsi="Calibri" w:cs="Calibri"/>
          <w:sz w:val="21"/>
          <w:szCs w:val="21"/>
        </w:rPr>
        <w:t>sistem ERP complet, localizat 100% pentru România</w:t>
      </w:r>
      <w:r>
        <w:rPr>
          <w:rFonts w:ascii="Calibri" w:hAnsi="Calibri" w:cs="Calibri"/>
          <w:color w:val="1A1A1A"/>
          <w:sz w:val="21"/>
          <w:szCs w:val="21"/>
        </w:rPr>
        <w:t xml:space="preserve">, comparabil ca acoperire funcțională cu </w:t>
      </w:r>
      <w:r>
        <w:rPr>
          <w:rStyle w:val="Robust"/>
          <w:rFonts w:ascii="Calibri" w:hAnsi="Calibri" w:cs="Calibri"/>
          <w:sz w:val="21"/>
          <w:szCs w:val="21"/>
        </w:rPr>
        <w:t>Microsoft Dynamics 365 Business Central</w:t>
      </w:r>
      <w:r>
        <w:rPr>
          <w:rFonts w:ascii="Calibri" w:hAnsi="Calibri" w:cs="Calibri"/>
          <w:color w:val="1A1A1A"/>
          <w:sz w:val="21"/>
          <w:szCs w:val="21"/>
        </w:rPr>
        <w:t xml:space="preserve"> — capabil să înlocuiască SAGA și soluțiile SMB comerciale.</w:t>
      </w:r>
    </w:p>
    <w:p w14:paraId="3EB5C822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Parametri asumați (conform deciziei):</w:t>
      </w:r>
      <w:r>
        <w:rPr>
          <w:rFonts w:ascii="Calibri" w:hAnsi="Calibri" w:cs="Calibri"/>
          <w:color w:val="1A1A1A"/>
          <w:sz w:val="21"/>
          <w:szCs w:val="21"/>
        </w:rPr>
        <w:t xml:space="preserve"> - </w:t>
      </w:r>
      <w:r>
        <w:rPr>
          <w:rStyle w:val="Robust"/>
          <w:rFonts w:ascii="Calibri" w:hAnsi="Calibri" w:cs="Calibri"/>
          <w:sz w:val="21"/>
          <w:szCs w:val="21"/>
        </w:rPr>
        <w:t>Nivel-țintă: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SMB / Business Central (ERP complet pentru firmă mică-mijlocie + conformitate fiscală RO integrală). </w:t>
      </w:r>
      <w:r>
        <w:rPr>
          <w:rStyle w:val="Accentuat"/>
          <w:rFonts w:ascii="Calibri" w:hAnsi="Calibri" w:cs="Calibri"/>
          <w:color w:val="1A1A1A"/>
          <w:sz w:val="21"/>
          <w:szCs w:val="21"/>
        </w:rPr>
        <w:t>Nu</w:t>
      </w:r>
      <w:r>
        <w:rPr>
          <w:rFonts w:ascii="Calibri" w:hAnsi="Calibri" w:cs="Calibri"/>
          <w:color w:val="1A1A1A"/>
          <w:sz w:val="21"/>
          <w:szCs w:val="21"/>
        </w:rPr>
        <w:t xml:space="preserve"> nivelul Finance &amp; Operations (enterprise, multi-țară, producție grea) — acela e o extensie ulterioară. - </w:t>
      </w:r>
      <w:r>
        <w:rPr>
          <w:rStyle w:val="Robust"/>
          <w:rFonts w:ascii="Calibri" w:hAnsi="Calibri" w:cs="Calibri"/>
          <w:sz w:val="21"/>
          <w:szCs w:val="21"/>
        </w:rPr>
        <w:t>Echipă:</w:t>
      </w:r>
      <w:r>
        <w:rPr>
          <w:rFonts w:ascii="Calibri" w:hAnsi="Calibri" w:cs="Calibri"/>
          <w:color w:val="1A1A1A"/>
          <w:sz w:val="21"/>
          <w:szCs w:val="21"/>
        </w:rPr>
        <w:t xml:space="preserve"> mare (20+ persoane / mai mulți parteneri) → </w:t>
      </w:r>
      <w:r>
        <w:rPr>
          <w:rStyle w:val="Robust"/>
          <w:rFonts w:ascii="Calibri" w:hAnsi="Calibri" w:cs="Calibri"/>
          <w:sz w:val="21"/>
          <w:szCs w:val="21"/>
        </w:rPr>
        <w:t>6 echipe (squad-uri) paralele</w:t>
      </w:r>
      <w:r>
        <w:rPr>
          <w:rFonts w:ascii="Calibri" w:hAnsi="Calibri" w:cs="Calibri"/>
          <w:color w:val="1A1A1A"/>
          <w:sz w:val="21"/>
          <w:szCs w:val="21"/>
        </w:rPr>
        <w:t xml:space="preserve"> + guild-uri transversale. Termenele presupun această capacitate; cu echipă mai mică se prelungesc proporțional. - </w:t>
      </w:r>
      <w:r>
        <w:rPr>
          <w:rStyle w:val="Robust"/>
          <w:rFonts w:ascii="Calibri" w:hAnsi="Calibri" w:cs="Calibri"/>
          <w:sz w:val="21"/>
          <w:szCs w:val="21"/>
        </w:rPr>
        <w:t>Orizont:</w:t>
      </w:r>
      <w:r>
        <w:rPr>
          <w:rFonts w:ascii="Calibri" w:hAnsi="Calibri" w:cs="Calibri"/>
          <w:color w:val="1A1A1A"/>
          <w:sz w:val="21"/>
          <w:szCs w:val="21"/>
        </w:rPr>
        <w:t xml:space="preserve"> ~</w:t>
      </w:r>
      <w:r>
        <w:rPr>
          <w:rStyle w:val="Robust"/>
          <w:rFonts w:ascii="Calibri" w:hAnsi="Calibri" w:cs="Calibri"/>
          <w:sz w:val="21"/>
          <w:szCs w:val="21"/>
        </w:rPr>
        <w:t>36 luni</w:t>
      </w:r>
      <w:r>
        <w:rPr>
          <w:rFonts w:ascii="Calibri" w:hAnsi="Calibri" w:cs="Calibri"/>
          <w:color w:val="1A1A1A"/>
          <w:sz w:val="21"/>
          <w:szCs w:val="21"/>
        </w:rPr>
        <w:t xml:space="preserve"> până la paritate BC, cu </w:t>
      </w:r>
      <w:r>
        <w:rPr>
          <w:rStyle w:val="Robust"/>
          <w:rFonts w:ascii="Calibri" w:hAnsi="Calibri" w:cs="Calibri"/>
          <w:sz w:val="21"/>
          <w:szCs w:val="21"/>
        </w:rPr>
        <w:t>MVP de înlocuire SAGA la ~luna 10–12</w:t>
      </w:r>
      <w:r>
        <w:rPr>
          <w:rFonts w:ascii="Calibri" w:hAnsi="Calibri" w:cs="Calibri"/>
          <w:color w:val="1A1A1A"/>
          <w:sz w:val="21"/>
          <w:szCs w:val="21"/>
        </w:rPr>
        <w:t>.</w:t>
      </w:r>
    </w:p>
    <w:p w14:paraId="5ECB8C1A" w14:textId="77777777" w:rsidR="00F75FE4" w:rsidRDefault="00F75FE4">
      <w:pPr>
        <w:pStyle w:val="NormalWeb"/>
        <w:shd w:val="clear" w:color="auto" w:fill="F5F8FB"/>
        <w:divId w:val="750658865"/>
        <w:rPr>
          <w:rFonts w:ascii="Calibri" w:hAnsi="Calibri" w:cs="Calibri"/>
          <w:color w:val="444444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Bază de pornire:</w:t>
      </w:r>
      <w:r>
        <w:rPr>
          <w:rFonts w:ascii="Calibri" w:hAnsi="Calibri" w:cs="Calibri"/>
          <w:color w:val="444444"/>
          <w:sz w:val="21"/>
          <w:szCs w:val="21"/>
        </w:rPr>
        <w:t xml:space="preserve"> </w:t>
      </w:r>
      <w:r>
        <w:rPr>
          <w:rFonts w:ascii="Calibri" w:hAnsi="Calibri" w:cs="Calibri"/>
          <w:color w:val="444444"/>
          <w:sz w:val="21"/>
          <w:szCs w:val="21"/>
        </w:rPr>
        <w:t>acest plan folosește direct „Catalogul de module și surse open-source" (fișierul companion) — fiecare pas indică sursa de portare concretă.</w:t>
      </w:r>
    </w:p>
    <w:p w14:paraId="41CAB3C9" w14:textId="77777777" w:rsidR="00F75FE4" w:rsidRDefault="00F75FE4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6AD5BB17">
          <v:rect id="_x0000_i1025" style="width:0;height:1.5pt" o:hralign="center" o:hrstd="t" o:hr="t" fillcolor="#a0a0a0" stroked="f"/>
        </w:pict>
      </w:r>
    </w:p>
    <w:p w14:paraId="186006E8" w14:textId="77777777" w:rsidR="00F75FE4" w:rsidRDefault="00F75FE4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 Încadrare realistă (de citit înainte de plan)</w:t>
      </w:r>
    </w:p>
    <w:p w14:paraId="36F5A070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Dynamics 365 s-a construit în </w:t>
      </w:r>
      <w:r>
        <w:rPr>
          <w:rStyle w:val="Robust"/>
          <w:rFonts w:ascii="Calibri" w:hAnsi="Calibri" w:cs="Calibri"/>
          <w:sz w:val="21"/>
          <w:szCs w:val="21"/>
        </w:rPr>
        <w:t>mii de ani-om</w:t>
      </w:r>
      <w:r>
        <w:rPr>
          <w:rFonts w:ascii="Calibri" w:hAnsi="Calibri" w:cs="Calibri"/>
          <w:color w:val="1A1A1A"/>
          <w:sz w:val="21"/>
          <w:szCs w:val="21"/>
        </w:rPr>
        <w:t xml:space="preserve">. „Paritate" nu înseamnă a reproduce fiecare funcție, ci a </w:t>
      </w:r>
      <w:r>
        <w:rPr>
          <w:rStyle w:val="Robust"/>
          <w:rFonts w:ascii="Calibri" w:hAnsi="Calibri" w:cs="Calibri"/>
          <w:sz w:val="21"/>
          <w:szCs w:val="21"/>
        </w:rPr>
        <w:t>acoperi ≥90% din scenariile reale ale unei firme SMB românești</w:t>
      </w:r>
      <w:r>
        <w:rPr>
          <w:rFonts w:ascii="Calibri" w:hAnsi="Calibri" w:cs="Calibri"/>
          <w:color w:val="1A1A1A"/>
          <w:sz w:val="21"/>
          <w:szCs w:val="21"/>
        </w:rPr>
        <w:t xml:space="preserve"> mai bine decât alternativele locale, cu conformitate fiscală </w:t>
      </w:r>
      <w:r>
        <w:rPr>
          <w:rStyle w:val="Robust"/>
          <w:rFonts w:ascii="Calibri" w:hAnsi="Calibri" w:cs="Calibri"/>
          <w:sz w:val="21"/>
          <w:szCs w:val="21"/>
        </w:rPr>
        <w:t>superioară</w:t>
      </w:r>
      <w:r>
        <w:rPr>
          <w:rFonts w:ascii="Calibri" w:hAnsi="Calibri" w:cs="Calibri"/>
          <w:color w:val="1A1A1A"/>
          <w:sz w:val="21"/>
          <w:szCs w:val="21"/>
        </w:rPr>
        <w:t xml:space="preserve"> (avantajul nostru: control total pe legislația RO). Strategia: 1. </w:t>
      </w:r>
      <w:r>
        <w:rPr>
          <w:rStyle w:val="Robust"/>
          <w:rFonts w:ascii="Calibri" w:hAnsi="Calibri" w:cs="Calibri"/>
          <w:sz w:val="21"/>
          <w:szCs w:val="21"/>
        </w:rPr>
        <w:t>Livrare de valoare devreme</w:t>
      </w:r>
      <w:r>
        <w:rPr>
          <w:rFonts w:ascii="Calibri" w:hAnsi="Calibri" w:cs="Calibri"/>
          <w:color w:val="1A1A1A"/>
          <w:sz w:val="21"/>
          <w:szCs w:val="21"/>
        </w:rPr>
        <w:t xml:space="preserve"> — un MVP care înlocuiește SAGA (finanțe + conformitate ANAF + salarizare) la luna ~10–12, nu la final. 2. </w:t>
      </w:r>
      <w:r>
        <w:rPr>
          <w:rStyle w:val="Robust"/>
          <w:rFonts w:ascii="Calibri" w:hAnsi="Calibri" w:cs="Calibri"/>
          <w:sz w:val="21"/>
          <w:szCs w:val="21"/>
        </w:rPr>
        <w:t>Nu reinventăm nucleul</w:t>
      </w:r>
      <w:r>
        <w:rPr>
          <w:rFonts w:ascii="Calibri" w:hAnsi="Calibri" w:cs="Calibri"/>
          <w:color w:val="1A1A1A"/>
          <w:sz w:val="21"/>
          <w:szCs w:val="21"/>
        </w:rPr>
        <w:t xml:space="preserve"> — iDempiere are deja GL, AP/AR, stocuri, achiziții, vânzări, MRP (Libero), POS, mijloace fixe, workflow, REST API, Jasper. </w:t>
      </w:r>
      <w:r>
        <w:rPr>
          <w:rStyle w:val="Robust"/>
          <w:rFonts w:ascii="Calibri" w:hAnsi="Calibri" w:cs="Calibri"/>
          <w:sz w:val="21"/>
          <w:szCs w:val="21"/>
        </w:rPr>
        <w:t>Golul față de Dynamics e</w:t>
      </w:r>
      <w:r>
        <w:rPr>
          <w:rFonts w:ascii="Calibri" w:hAnsi="Calibri" w:cs="Calibri"/>
          <w:color w:val="1A1A1A"/>
          <w:sz w:val="21"/>
          <w:szCs w:val="21"/>
        </w:rPr>
        <w:t xml:space="preserve">: localizarea RO (tot), UX modern, AI/Copilot, SaaS multi-tenant, mobil, WMS avansat, BI șlefuit. 3. </w:t>
      </w:r>
      <w:r>
        <w:rPr>
          <w:rStyle w:val="Robust"/>
          <w:rFonts w:ascii="Calibri" w:hAnsi="Calibri" w:cs="Calibri"/>
          <w:sz w:val="21"/>
          <w:szCs w:val="21"/>
        </w:rPr>
        <w:t>Localizare ca overlay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(pattern LCO), cu parametri legislativi versionați pe perioade de valabilitate — niciodată hardcodat. 4. </w:t>
      </w:r>
      <w:r>
        <w:rPr>
          <w:rStyle w:val="Robust"/>
          <w:rFonts w:ascii="Calibri" w:hAnsi="Calibri" w:cs="Calibri"/>
          <w:sz w:val="21"/>
          <w:szCs w:val="21"/>
        </w:rPr>
        <w:t>SAGA = oracol de validare</w:t>
      </w:r>
      <w:r>
        <w:rPr>
          <w:rFonts w:ascii="Calibri" w:hAnsi="Calibri" w:cs="Calibri"/>
          <w:color w:val="1A1A1A"/>
          <w:sz w:val="21"/>
          <w:szCs w:val="21"/>
        </w:rPr>
        <w:t xml:space="preserve"> în fazele 1–2 (comparație stat de salarii, D112, balanță, declarații — diferență țintă 0).</w:t>
      </w:r>
    </w:p>
    <w:p w14:paraId="0818BE56" w14:textId="77777777" w:rsidR="00F75FE4" w:rsidRDefault="00F75FE4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24775413">
          <v:rect id="_x0000_i1026" style="width:0;height:1.5pt" o:hralign="center" o:hrstd="t" o:hr="t" fillcolor="#a0a0a0" stroked="f"/>
        </w:pict>
      </w:r>
    </w:p>
    <w:p w14:paraId="384A8DF5" w14:textId="77777777" w:rsidR="00F75FE4" w:rsidRDefault="00F75FE4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0.1 Matricea de paritate funcțională (BC → iDempiere azi → țintă EVA)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8"/>
        <w:gridCol w:w="2752"/>
        <w:gridCol w:w="4182"/>
        <w:gridCol w:w="1580"/>
      </w:tblGrid>
      <w:tr w:rsidR="00000000" w14:paraId="4BE4AEEE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34C9F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Capabilitate Business Central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35F4E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iDempiere azi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00533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Gol de acoperit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868D3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Wave / Squad</w:t>
            </w:r>
          </w:p>
        </w:tc>
      </w:tr>
      <w:tr w:rsidR="00000000" w14:paraId="418941E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17B78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Financial Management (GL, buget, cash flow, consolidare, multivalută)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E8926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Puternic (GL, buget, multivalută)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465E60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Consolidare, cockpit cash flow, plan conturi RO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9F6F9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W1 / Finanțe</w:t>
            </w:r>
          </w:p>
        </w:tc>
      </w:tr>
      <w:tr w:rsidR="00000000" w14:paraId="249C76A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B24EC0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Conformitate fiscală RO (e-Factura, SAF-T, D112, D300/390/394, REGES, e-Transport)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84040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Inexistent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9C3A9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Totul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(avantajul competitiv)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7FB05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W1–W2 / Fiscal</w:t>
            </w:r>
          </w:p>
        </w:tc>
      </w:tr>
      <w:tr w:rsidR="00000000" w14:paraId="78C7DF5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81EE3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Sales &amp; Receivables (O2C)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9BA6BE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Puternic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5891C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e-Factura B2C, UX, credit mgmt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DE49F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W2 / Vânzări</w:t>
            </w:r>
          </w:p>
        </w:tc>
      </w:tr>
      <w:tr w:rsidR="00000000" w14:paraId="38571D3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D10F2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lastRenderedPageBreak/>
              <w:t>Purchasing &amp; Payables (P2P)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3F750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Puternic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798547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Aprobări, OCR facturi furnizor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FAD8A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W2 / SCM</w:t>
            </w:r>
          </w:p>
        </w:tc>
      </w:tr>
      <w:tr w:rsidR="00000000" w14:paraId="7AF4A6D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07D16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Inventory (loturi, serii, valorizare)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F9CFF0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Bun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AAEA67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Gestiune cantitativ-valorică RO, NIR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EF49F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W2 / SCM</w:t>
            </w:r>
          </w:p>
        </w:tc>
      </w:tr>
      <w:tr w:rsidR="00000000" w14:paraId="0ACF0DB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B2B0A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Warehouse Management (WMS)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30937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De bază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964C6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Locații, pick/pack, coduri de bare, mobil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FD8474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W3 / SCM</w:t>
            </w:r>
          </w:p>
        </w:tc>
      </w:tr>
      <w:tr w:rsidR="00000000" w14:paraId="1F74442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4EDCF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Manufacturing / MRP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7F7FE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Libero (bun)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5B16D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Costuri, planificare, UX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87FFF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W3 / SCM</w:t>
            </w:r>
          </w:p>
        </w:tc>
      </w:tr>
      <w:tr w:rsidR="00000000" w14:paraId="6C282D5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66A13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Project Mgmt / Jobs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44C00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De bază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86E99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Bugete proiect, pontaj pe proiect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BB152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W3 / SCM</w:t>
            </w:r>
          </w:p>
        </w:tc>
      </w:tr>
      <w:tr w:rsidR="00000000" w14:paraId="68209AF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608C8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Fixed Assets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FC88D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Da (nucleu)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1A5980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Amortizare fiscală RO, reevaluare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E862B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W1 / Finanțe</w:t>
            </w:r>
          </w:p>
        </w:tc>
      </w:tr>
      <w:tr w:rsidR="00000000" w14:paraId="7063E0D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E5D94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HR &amp; Payroll RO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CE94E7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Inexistent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33164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Tot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(CDSoftware/AMERPSOFT + RO)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EB13C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W1 / HR</w:t>
            </w:r>
          </w:p>
        </w:tc>
      </w:tr>
      <w:tr w:rsidR="00000000" w14:paraId="12F734C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B6510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SSM / ISU RO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4E819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Inexistent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CE126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Tot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(greenfield)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A430F7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W3 / HR</w:t>
            </w:r>
          </w:p>
        </w:tc>
      </w:tr>
      <w:tr w:rsidR="00000000" w14:paraId="728FE22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B0368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CRM / Relationship (Dynamics Sales)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28603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De bază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FF587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Pipeline, oportunități, portal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F2681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W2–W3 / Vânzări</w:t>
            </w:r>
          </w:p>
        </w:tc>
      </w:tr>
      <w:tr w:rsidR="00000000" w14:paraId="435729F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E36A3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POS / Retail (Commerce)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6F035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POS de bază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DF28E0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Casă fiscală RO (AMEF), retail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2FC2F7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W3 / Vânzări</w:t>
            </w:r>
          </w:p>
        </w:tc>
      </w:tr>
      <w:tr w:rsidR="00000000" w14:paraId="322C586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F0BC7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BI / Reporting (Power BI)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7B3F7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Jasper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3F1D24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Dashboards pe roluri, warehouse semantic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4DB52E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W3 / BI-AI</w:t>
            </w:r>
          </w:p>
        </w:tc>
      </w:tr>
      <w:tr w:rsidR="00000000" w14:paraId="6F7B3CD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482977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AI / Copilot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6BABB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Inexistent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A72F7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Asistent NL, OCR, anomalii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D4097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W4 / BI-AI</w:t>
            </w:r>
          </w:p>
        </w:tc>
      </w:tr>
      <w:tr w:rsidR="00000000" w14:paraId="1B356FA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DB0469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Platformă / API / integrare (Power Platform)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45226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REST API bun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45F00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Connectors, EDI, webhooks, low-code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17481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W4 / Platformă</w:t>
            </w:r>
          </w:p>
        </w:tc>
      </w:tr>
      <w:tr w:rsidR="00000000" w14:paraId="3ACB4E2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081BB9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Cloud / SaaS multi-tenant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1C76CE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Self-host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067434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Multi-tenant, K8s, billing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A4F80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W4 / Platformă</w:t>
            </w:r>
          </w:p>
        </w:tc>
      </w:tr>
      <w:tr w:rsidR="00000000" w14:paraId="381BB9C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81F77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Mobil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FEC2F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Slab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8AE69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Aplicații mobile (aprobări, pontaj, depozit, vânzări)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BDB6D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W4 / Platformă</w:t>
            </w:r>
          </w:p>
        </w:tc>
      </w:tr>
      <w:tr w:rsidR="00000000" w14:paraId="1A75975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B314A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Role Centers / UX modern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2D4E0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ZK clasic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17FF5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Temă modernă, role centers, personalizare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ABBCC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W5 / UX</w:t>
            </w:r>
          </w:p>
        </w:tc>
      </w:tr>
      <w:tr w:rsidR="00000000" w14:paraId="63CDF96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3B291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Securitate / GDPR / SSO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A50ED4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RBAC de bază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36DE49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SSO Azure/OIDC, GDPR, audit, pen-test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FA9FB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W4 / Platformă</w:t>
            </w:r>
          </w:p>
        </w:tc>
      </w:tr>
      <w:tr w:rsidR="00000000" w14:paraId="3983940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E6FBE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Migrare / onboarding / ecosistem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59CE7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518784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Unelte migrare SAGA/BC, marketplace, training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C88AD9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W5 / GTM</w:t>
            </w:r>
          </w:p>
        </w:tc>
      </w:tr>
    </w:tbl>
    <w:p w14:paraId="07D1B6CB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lastRenderedPageBreak/>
        <w:t>Definiția „paritate atinsă":</w:t>
      </w:r>
      <w:r>
        <w:rPr>
          <w:rFonts w:ascii="Calibri" w:hAnsi="Calibri" w:cs="Calibri"/>
          <w:color w:val="1A1A1A"/>
          <w:sz w:val="21"/>
          <w:szCs w:val="21"/>
        </w:rPr>
        <w:t xml:space="preserve"> scor ≥ </w:t>
      </w:r>
      <w:r>
        <w:rPr>
          <w:rStyle w:val="Robust"/>
          <w:rFonts w:ascii="Calibri" w:hAnsi="Calibri" w:cs="Calibri"/>
          <w:sz w:val="21"/>
          <w:szCs w:val="21"/>
        </w:rPr>
        <w:t>90%</w:t>
      </w:r>
      <w:r>
        <w:rPr>
          <w:rFonts w:ascii="Calibri" w:hAnsi="Calibri" w:cs="Calibri"/>
          <w:color w:val="1A1A1A"/>
          <w:sz w:val="21"/>
          <w:szCs w:val="21"/>
        </w:rPr>
        <w:t xml:space="preserve"> pe această matrice (ponderat pe utilizare reală) + ≥ </w:t>
      </w:r>
      <w:r>
        <w:rPr>
          <w:rStyle w:val="Robust"/>
          <w:rFonts w:ascii="Calibri" w:hAnsi="Calibri" w:cs="Calibri"/>
          <w:sz w:val="21"/>
          <w:szCs w:val="21"/>
        </w:rPr>
        <w:t>N clienți pilot în producție</w:t>
      </w:r>
      <w:r>
        <w:rPr>
          <w:rFonts w:ascii="Calibri" w:hAnsi="Calibri" w:cs="Calibri"/>
          <w:color w:val="1A1A1A"/>
          <w:sz w:val="21"/>
          <w:szCs w:val="21"/>
        </w:rPr>
        <w:t>.</w:t>
      </w:r>
    </w:p>
    <w:p w14:paraId="135E47B7" w14:textId="77777777" w:rsidR="00F75FE4" w:rsidRDefault="00F75FE4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10E113FA">
          <v:rect id="_x0000_i1027" style="width:0;height:1.5pt" o:hralign="center" o:hrstd="t" o:hr="t" fillcolor="#a0a0a0" stroked="f"/>
        </w:pict>
      </w:r>
    </w:p>
    <w:p w14:paraId="22F1F346" w14:textId="77777777" w:rsidR="00F75FE4" w:rsidRDefault="00F75FE4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0.2 Structura echipei (20+) — 6 squad-uri + guild-uri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7417"/>
        <w:gridCol w:w="5292"/>
      </w:tblGrid>
      <w:tr w:rsidR="00000000" w14:paraId="2E3B15AD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0E9C5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Squad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8FD21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7C00E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Componență orientativă</w:t>
            </w:r>
          </w:p>
        </w:tc>
      </w:tr>
      <w:tr w:rsidR="00000000" w14:paraId="70E2E41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BB6870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S0 Platform &amp; DevOps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A25B5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Build, CI/CD, cloud, securitate, API, mobil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9608F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4–5 (2 dev platformă, 1 DevOps, 1 securitate, 1 mobil)</w:t>
            </w:r>
          </w:p>
        </w:tc>
      </w:tr>
      <w:tr w:rsidR="00000000" w14:paraId="2A3229F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542F1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S1 Finanțe &amp; Fiscal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9ED014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GL, plan conturi RO, TVA, e-Factura, SAF-T, declarații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A189D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5–6 (3 dev + 1 expert contabil, 1 expert fiscal, 1 QA)</w:t>
            </w:r>
          </w:p>
        </w:tc>
      </w:tr>
      <w:tr w:rsidR="00000000" w14:paraId="57E44D1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80C44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S2 HR &amp; Salarizare &amp; SSM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F749B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Salarizare RO, D112, REGES, pontaj, SSM/ISU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D49EF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4–5 (2–3 dev + 1 expert salarizare/HR RO, 1 QA)</w:t>
            </w:r>
          </w:p>
        </w:tc>
      </w:tr>
      <w:tr w:rsidR="00000000" w14:paraId="7EF69A7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6F3F6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S3 SCM &amp; Producție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DF510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Stocuri, achiziții, WMS, MRP, proiecte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33EC2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3–4</w:t>
            </w:r>
          </w:p>
        </w:tc>
      </w:tr>
      <w:tr w:rsidR="00000000" w14:paraId="0041FBB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91787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S4 Vânzări, CRM &amp; POS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C82D8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O2C, CRM, POS fiscal, portal/webstore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88416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3–4</w:t>
            </w:r>
          </w:p>
        </w:tc>
      </w:tr>
      <w:tr w:rsidR="00000000" w14:paraId="5CE13B3A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615EA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S5 BI, AI &amp; UX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795D6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Dashboards, Copilot, role centers, UX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01F357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3–4</w:t>
            </w:r>
          </w:p>
        </w:tc>
      </w:tr>
      <w:tr w:rsidR="00000000" w14:paraId="1038466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AA0C1E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Guild-uri transversale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9FB1E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Arhitectură, QA/automatizare, Securitate/GDPR, Product/PM, Documentație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784D3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rotativ din squad-uri</w:t>
            </w:r>
          </w:p>
        </w:tc>
      </w:tr>
    </w:tbl>
    <w:p w14:paraId="59F28396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>Cadență: sprint-uri 2 săptămâni, demo la fiecare sprint, release train lunar, gate de fază (quality gate) la fiecare milestone.</w:t>
      </w:r>
    </w:p>
    <w:p w14:paraId="47AEEFFA" w14:textId="77777777" w:rsidR="00F75FE4" w:rsidRDefault="00F75FE4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25C824B4">
          <v:rect id="_x0000_i1028" style="width:0;height:1.5pt" o:hralign="center" o:hrstd="t" o:hr="t" fillcolor="#a0a0a0" stroked="f"/>
        </w:pict>
      </w:r>
    </w:p>
    <w:p w14:paraId="1D392589" w14:textId="77777777" w:rsidR="00F75FE4" w:rsidRDefault="00F75FE4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0.3 KPI globale de program</w:t>
      </w:r>
    </w:p>
    <w:p w14:paraId="3461B8D6" w14:textId="77777777" w:rsidR="00F75FE4" w:rsidRDefault="00F75FE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Acoperire paritate BC: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% din matricea 0.1 (țintă 90% la M36).</w:t>
      </w:r>
    </w:p>
    <w:p w14:paraId="23FCA8D5" w14:textId="77777777" w:rsidR="00F75FE4" w:rsidRDefault="00F75FE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Conformitate fiscală: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>% declarații RO generate + validate DUKIntegrator (țintă 100% la M18).</w:t>
      </w:r>
    </w:p>
    <w:p w14:paraId="2EE5CAF9" w14:textId="77777777" w:rsidR="00F75FE4" w:rsidRDefault="00F75FE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Acuratețe vs. SAGA: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diferență la stat salarii / balanță / D112 pe set de test (țintă </w:t>
      </w:r>
      <w:r>
        <w:rPr>
          <w:rStyle w:val="Robust"/>
          <w:rFonts w:ascii="Calibri" w:eastAsia="Times New Roman" w:hAnsi="Calibri" w:cs="Calibri"/>
          <w:sz w:val="21"/>
          <w:szCs w:val="21"/>
        </w:rPr>
        <w:t>0</w:t>
      </w:r>
      <w:r>
        <w:rPr>
          <w:rFonts w:ascii="Calibri" w:eastAsia="Times New Roman" w:hAnsi="Calibri" w:cs="Calibri"/>
          <w:color w:val="1A1A1A"/>
          <w:sz w:val="21"/>
          <w:szCs w:val="21"/>
        </w:rPr>
        <w:t>).</w:t>
      </w:r>
    </w:p>
    <w:p w14:paraId="40A872E5" w14:textId="77777777" w:rsidR="00F75FE4" w:rsidRDefault="00F75FE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Calitate cod: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coverage teste ≥ 70% pe modulele EVA; 0 vulnerabilități critice.</w:t>
      </w:r>
    </w:p>
    <w:p w14:paraId="194C9D20" w14:textId="77777777" w:rsidR="00F75FE4" w:rsidRDefault="00F75FE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Adopție: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nr. clienți pilot în producție; NPS; timp mediu de onboarding.</w:t>
      </w:r>
    </w:p>
    <w:p w14:paraId="2B34979D" w14:textId="77777777" w:rsidR="00F75FE4" w:rsidRDefault="00F75FE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Performanță: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timp închidere lună; timp emitere+transmitere e-Factura; disponibilitate SaaS ≥ 99,5%.</w:t>
      </w:r>
    </w:p>
    <w:p w14:paraId="1BA92459" w14:textId="77777777" w:rsidR="00F75FE4" w:rsidRDefault="00F75FE4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0A34E0CA">
          <v:rect id="_x0000_i1029" style="width:0;height:1.5pt" o:hralign="center" o:hrstd="t" o:hr="t" fillcolor="#a0a0a0" stroked="f"/>
        </w:pict>
      </w:r>
    </w:p>
    <w:p w14:paraId="42E43AA8" w14:textId="77777777" w:rsidR="00F75FE4" w:rsidRDefault="00F75FE4">
      <w:pPr>
        <w:pStyle w:val="Titlu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Planul pe faze (Waves) — obiective, sub-pași, rezultate măsurabile</w:t>
      </w:r>
    </w:p>
    <w:p w14:paraId="48AB0E15" w14:textId="77777777" w:rsidR="00F75FE4" w:rsidRDefault="00F75FE4">
      <w:pPr>
        <w:pStyle w:val="NormalWeb"/>
        <w:shd w:val="clear" w:color="auto" w:fill="F5F8FB"/>
        <w:divId w:val="286545650"/>
        <w:rPr>
          <w:rFonts w:ascii="Calibri" w:hAnsi="Calibri" w:cs="Calibri"/>
          <w:color w:val="444444"/>
          <w:sz w:val="21"/>
          <w:szCs w:val="21"/>
        </w:rPr>
      </w:pPr>
      <w:r>
        <w:rPr>
          <w:rFonts w:ascii="Calibri" w:hAnsi="Calibri" w:cs="Calibri"/>
          <w:color w:val="444444"/>
          <w:sz w:val="21"/>
          <w:szCs w:val="21"/>
        </w:rPr>
        <w:lastRenderedPageBreak/>
        <w:t xml:space="preserve">Waves se suprapun (echipă mare). Fiecare wave listează sub-pași cu </w:t>
      </w:r>
      <w:r>
        <w:rPr>
          <w:rStyle w:val="Robust"/>
          <w:rFonts w:ascii="Calibri" w:hAnsi="Calibri" w:cs="Calibri"/>
          <w:sz w:val="21"/>
          <w:szCs w:val="21"/>
        </w:rPr>
        <w:t>Activități</w:t>
      </w:r>
      <w:r>
        <w:rPr>
          <w:rFonts w:ascii="Calibri" w:hAnsi="Calibri" w:cs="Calibri"/>
          <w:color w:val="444444"/>
          <w:sz w:val="21"/>
          <w:szCs w:val="21"/>
        </w:rPr>
        <w:t xml:space="preserve"> și </w:t>
      </w:r>
      <w:r>
        <w:rPr>
          <w:rStyle w:val="Robust"/>
          <w:rFonts w:ascii="Calibri" w:hAnsi="Calibri" w:cs="Calibri"/>
          <w:sz w:val="21"/>
          <w:szCs w:val="21"/>
        </w:rPr>
        <w:t>Rezultate măsurabile (RM)</w:t>
      </w:r>
      <w:r>
        <w:rPr>
          <w:rFonts w:ascii="Calibri" w:hAnsi="Calibri" w:cs="Calibri"/>
          <w:color w:val="444444"/>
          <w:sz w:val="21"/>
          <w:szCs w:val="21"/>
        </w:rPr>
        <w:t>.</w:t>
      </w:r>
    </w:p>
    <w:p w14:paraId="6548074E" w14:textId="77777777" w:rsidR="00F75FE4" w:rsidRDefault="00F75FE4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29A05F3B">
          <v:rect id="_x0000_i1030" style="width:0;height:1.5pt" o:hralign="center" o:hrstd="t" o:hr="t" fillcolor="#a0a0a0" stroked="f"/>
        </w:pict>
      </w:r>
    </w:p>
    <w:p w14:paraId="174D26B6" w14:textId="77777777" w:rsidR="00F75FE4" w:rsidRDefault="00F75FE4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WAVE 0 — Fundație tehnică &amp; guvernanță · M0–M3 · Squad S0 (+toate)</w:t>
      </w:r>
    </w:p>
    <w:p w14:paraId="05D2D2C3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Obiectiv:</w:t>
      </w:r>
      <w:r>
        <w:rPr>
          <w:rFonts w:ascii="Calibri" w:hAnsi="Calibri" w:cs="Calibri"/>
          <w:color w:val="1A1A1A"/>
          <w:sz w:val="21"/>
          <w:szCs w:val="21"/>
        </w:rPr>
        <w:t xml:space="preserve"> mediu de dezvoltare industrial, arhitectură de plugin-uri EVA, pipeline CI/CD, standarde — astfel încât 6 squad-uri să livreze paralel fără a se bloca.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7121"/>
        <w:gridCol w:w="5979"/>
      </w:tblGrid>
      <w:tr w:rsidR="00000000" w14:paraId="0A54C3C7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EC30A0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Sub-pas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121CEE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Activități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EC8FC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Rezultate măsurabile</w:t>
            </w:r>
          </w:p>
        </w:tc>
      </w:tr>
      <w:tr w:rsidR="00000000" w14:paraId="69F20AB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E74DC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0.1 Infrastructură dev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9FDD1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iDempiere 13 base + PostgreSQL; repo Git (mono/multi-repo </w:t>
            </w:r>
            <w:r>
              <w:rPr>
                <w:rStyle w:val="CodHTML"/>
              </w:rPr>
              <w:t>eva.*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); build Maven/Tycho; update-site P2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F21A9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Build reproductibil &lt; 15 min; mediu identic pe 3 dev; 1 plugin „hello EVA" instalat pe v13</w:t>
            </w:r>
          </w:p>
        </w:tc>
      </w:tr>
      <w:tr w:rsidR="00000000" w14:paraId="6539D92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91C06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0.2 CI/CD &amp; calitate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8E4864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Pipeline build+test+package; SonarQube; teste automate; artefacte versionate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7C0789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Pipeline verde la fiecare push; quality gate configurat; coverage baseline raportat</w:t>
            </w:r>
          </w:p>
        </w:tc>
      </w:tr>
      <w:tr w:rsidR="00000000" w14:paraId="58F961F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4B8FF7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0.3 Arhitectura EVA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DEF3C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Namespace-uri (</w:t>
            </w:r>
            <w:r>
              <w:rPr>
                <w:rStyle w:val="CodHTML"/>
              </w:rPr>
              <w:t>eva.hr.*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CodHTML"/>
              </w:rPr>
              <w:t>eva.ro.*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CodHTML"/>
              </w:rPr>
              <w:t>eva.fin.*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…), grafic de dependențe, overlay LCO_RO, ADR-uri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3B460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Document de arhitectură + 20+ ADR; schema de dependențe aprobată</w:t>
            </w:r>
          </w:p>
        </w:tc>
      </w:tr>
      <w:tr w:rsidR="00000000" w14:paraId="276AD1B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3107A4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0.4 Cadru parametri legislativi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FF0B8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Model „parametru cu perioadă de valabilitate" (cote, praguri, salariu minim)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69F1B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Motor de parametri testat; import cote 2024–2026; 0 valori hardcodate</w:t>
            </w:r>
          </w:p>
        </w:tc>
      </w:tr>
      <w:tr w:rsidR="00000000" w14:paraId="019F27E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FD652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0.5 Mediu de testare &amp; date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1F528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Set date demo RO; instanță SAGA de referință; date de comparație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AED7F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Set de test versionat; harness de comparație EVA↔SAGA funcțional</w:t>
            </w:r>
          </w:p>
        </w:tc>
      </w:tr>
      <w:tr w:rsidR="00000000" w14:paraId="4221CD7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CA52E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0.6 Guvernanță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DA880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Backlog, Definition of Done, politică licențiere (GPLv2/Apache/AGPL), roluri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A0AD3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Backlog priorizat; DoD aprobat; registru licențe pe fiecare dependență</w:t>
            </w:r>
          </w:p>
        </w:tc>
      </w:tr>
    </w:tbl>
    <w:p w14:paraId="25D3B701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Gate M3: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infrastructură + arhitectură + un plugin demo pe v13; toate squad-urile pot începe paralel.</w:t>
      </w:r>
    </w:p>
    <w:p w14:paraId="46206F5D" w14:textId="77777777" w:rsidR="00F75FE4" w:rsidRDefault="00F75FE4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0872169B">
          <v:rect id="_x0000_i1031" style="width:0;height:1.5pt" o:hralign="center" o:hrstd="t" o:hr="t" fillcolor="#a0a0a0" stroked="f"/>
        </w:pict>
      </w:r>
    </w:p>
    <w:p w14:paraId="655D1FFE" w14:textId="77777777" w:rsidR="00F75FE4" w:rsidRDefault="00F75FE4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WAVE 1 — Nucleul „înlocuire SAGA": Finanțe RO + e-Factura + HR/Salarizare · M2–M12 · Squad S1 + S2</w:t>
      </w:r>
    </w:p>
    <w:p w14:paraId="40A151FA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Obiectiv:</w:t>
      </w:r>
      <w:r>
        <w:rPr>
          <w:rFonts w:ascii="Calibri" w:hAnsi="Calibri" w:cs="Calibri"/>
          <w:color w:val="1A1A1A"/>
          <w:sz w:val="21"/>
          <w:szCs w:val="21"/>
        </w:rPr>
        <w:t xml:space="preserve"> contabilitate RO completă + prima conformitate ANAF (e-Factura, TVA) + salarizare RO + D112 + REGES → </w:t>
      </w:r>
      <w:r>
        <w:rPr>
          <w:rStyle w:val="Robust"/>
          <w:rFonts w:ascii="Calibri" w:hAnsi="Calibri" w:cs="Calibri"/>
          <w:sz w:val="21"/>
          <w:szCs w:val="21"/>
        </w:rPr>
        <w:t>MVP care poate ține contabilitatea și salariile unei firme reale</w:t>
      </w:r>
      <w:r>
        <w:rPr>
          <w:rFonts w:ascii="Calibri" w:hAnsi="Calibri" w:cs="Calibri"/>
          <w:color w:val="1A1A1A"/>
          <w:sz w:val="21"/>
          <w:szCs w:val="21"/>
        </w:rPr>
        <w:t>.</w:t>
      </w:r>
    </w:p>
    <w:p w14:paraId="07D2C395" w14:textId="77777777" w:rsidR="00F75FE4" w:rsidRDefault="00F75FE4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1A. Finanțe &amp; Fiscal de bază (S1)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7070"/>
        <w:gridCol w:w="5246"/>
      </w:tblGrid>
      <w:tr w:rsidR="00000000" w14:paraId="3AF29AD2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A5E3D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Sub-pas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22E8E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Activități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4EB7E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Rezultate măsurabile</w:t>
            </w:r>
          </w:p>
        </w:tc>
      </w:tr>
      <w:tr w:rsidR="00000000" w14:paraId="15068DB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2A4C1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1A.1 Plan de conturi &amp; nomenclatoare RO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B529F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2Pack cu plan conturi OMFP 1802; CAEN; județe/localități; bănci; TVA; cursuri BNR automat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17403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Plan de conturi RO instalabil; curs BNR importat zilnic; nomenclatoare complete</w:t>
            </w:r>
          </w:p>
        </w:tc>
      </w:tr>
      <w:tr w:rsidR="00000000" w14:paraId="7E6B8CF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7861C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1A.2 Validări RO (overlay LCO)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4AF7A4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Cifra de control CUI/CIF, CNP, IBAN pe interfața </w:t>
            </w:r>
            <w:r>
              <w:rPr>
                <w:rStyle w:val="CodHTML"/>
              </w:rPr>
              <w:t>ILCO_TaxIDDigit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0B0FD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Validare 100% pe set de test de CUI/CNP; respinge input invalid</w:t>
            </w:r>
          </w:p>
        </w:tc>
      </w:tr>
      <w:tr w:rsidR="00000000" w14:paraId="19F524F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0B9BE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1A.3 Motor TVA RO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689AF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TVA la încasare, TVA nedeductibil, taxare inversă, pro-rata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0F1DB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Calcul TVA = SAGA pe 200 facturi de test (diferență 0)</w:t>
            </w:r>
          </w:p>
        </w:tc>
      </w:tr>
      <w:tr w:rsidR="00000000" w14:paraId="4058E13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9900C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1A.4 e-Factura CIUS-RO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C0EB8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Generare UBL 2.1 (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ph-ubl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), validare (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phive-rules-cius-ro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), OAuth2 SPV, upload/status/download, XML→PDF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195ED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Factură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acceptată în SPV sandbox + prod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; validare RO_CIUS trece; PDF generat</w:t>
            </w:r>
          </w:p>
        </w:tc>
      </w:tr>
      <w:tr w:rsidR="00000000" w14:paraId="4B68CFD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C48C7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1A.5 Jurnale &amp; registre + D300/D390/D394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4C8AE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Registru jurnal, carte mare, balanță, jurnale TVA; generatoare declarații (ref. </w:t>
            </w:r>
            <w:r>
              <w:rPr>
                <w:rStyle w:val="CodHTML"/>
              </w:rPr>
              <w:t>declaratii-anaf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791D6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Balanță = SAGA (diferență 0); D300/D394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validate DUKIntegrator</w:t>
            </w:r>
          </w:p>
        </w:tc>
      </w:tr>
      <w:tr w:rsidR="00000000" w14:paraId="119BECE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F9DDB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1A.6 Bancă &amp; plăți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BABBC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Import extrase CAMT053/MT940 (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BX Service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), reconciliere, plăți SEPA, fișiere bancare RO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C35B8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Import extras + reconciliere ≥ 95% automat; fișier plăți acceptat de bancă</w:t>
            </w:r>
          </w:p>
        </w:tc>
      </w:tr>
      <w:tr w:rsidR="00000000" w14:paraId="06F653A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DCABF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1A.7 Mijloace fixe RO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BD1BB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Amortizare fiscală + contabilă RO, reevaluare, registru mijloace fixe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DCE2D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Amortizare = SAGA pe set de test; registru mijloace fixe generat</w:t>
            </w:r>
          </w:p>
        </w:tc>
      </w:tr>
    </w:tbl>
    <w:p w14:paraId="32F309F3" w14:textId="77777777" w:rsidR="00F75FE4" w:rsidRDefault="00F75FE4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1B. HR &amp; Salarizare RO (S2)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8889"/>
        <w:gridCol w:w="4825"/>
      </w:tblGrid>
      <w:tr w:rsidR="00000000" w14:paraId="2BB4D527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D18D8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Sub-pas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2FADF0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Activități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30C2F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Rezultate măsurabile</w:t>
            </w:r>
          </w:p>
        </w:tc>
      </w:tr>
      <w:tr w:rsidR="00000000" w14:paraId="2E0D895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61F4F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1B.1 Model HR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(portare)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FF594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Dosar salariat, contracte, acte adiționale, structură org. (din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CDSoftware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/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AMERPSOFT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10154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CRUD salariat/contract funcțional; import 500 salariați de test</w:t>
            </w:r>
          </w:p>
        </w:tc>
      </w:tr>
      <w:tr w:rsidR="00000000" w14:paraId="344B7C6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5A465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1B.2 Pontaj &amp; concedii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4A3860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Terminale (Hikvision), ture, concedii, aprobări (din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CDSoftware Attendance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61858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Import pontaj din terminal; ture rotative; flux aprobare concediu</w:t>
            </w:r>
          </w:p>
        </w:tc>
      </w:tr>
      <w:tr w:rsidR="00000000" w14:paraId="3F33F86A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F073C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1B.3 Motor salarial RO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95820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CAS 25%, CASS 10%, CAM 2,25%, impozit 10%, deduceri, net↔brut (motor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adempiere-payroll-multi-engine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+ formule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AMERPSOFT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+ param. legislativi; formule ref.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PFASimplu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A9913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Stat de salarii = SAGA pe set de test (diferență 0 lei)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; net↔brut validat vs. calculatoare web</w:t>
            </w:r>
          </w:p>
        </w:tc>
      </w:tr>
      <w:tr w:rsidR="00000000" w14:paraId="0A2EC5B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CDDED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1B.4 Concedii medicale RO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EA99E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Calcul indemnizații (OUG 158), FNUASS, recuperări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1EE47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Calcul concedii medicale = SAGA pe cazuri de test</w:t>
            </w:r>
          </w:p>
        </w:tc>
      </w:tr>
      <w:tr w:rsidR="00000000" w14:paraId="3C6CA0F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64420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1B.5 D112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457E4E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Generare XML + validare DUKIntegrator + rectificative + recipise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0B2A8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D112 validat DUKIntegrator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; rectificativă funcțională</w:t>
            </w:r>
          </w:p>
        </w:tc>
      </w:tr>
      <w:tr w:rsidR="00000000" w14:paraId="2EC507A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67141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1B.6 REGES-ONLINE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7AAEB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Transmitere contracte/modificări (schema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reges.xsd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CodHTML"/>
              </w:rPr>
              <w:t>reges-ro/integrare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8C8B3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Contract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transmis în REGES sandbox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; confirmare primită</w:t>
            </w:r>
          </w:p>
        </w:tc>
      </w:tr>
      <w:tr w:rsidR="00000000" w14:paraId="47EB3BF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C29F1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lastRenderedPageBreak/>
              <w:t>1B.7 Ieșiri salariale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5E8CB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Fluturași, note contabile salariale, fișiere bancare, D205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488A3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Fluturași generați; note contabile în GL; D205 generat</w:t>
            </w:r>
          </w:p>
        </w:tc>
      </w:tr>
    </w:tbl>
    <w:p w14:paraId="26695B36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Gate M12 (MVP „SAGA replacement"):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o firmă reală poate ține în EVA contabilitatea + TVA + e-Factura + salariile + D112 + REGES, cu rezultate </w:t>
      </w:r>
      <w:r>
        <w:rPr>
          <w:rStyle w:val="Robust"/>
          <w:rFonts w:ascii="Calibri" w:hAnsi="Calibri" w:cs="Calibri"/>
          <w:sz w:val="21"/>
          <w:szCs w:val="21"/>
        </w:rPr>
        <w:t>identice cu SAGA</w:t>
      </w:r>
      <w:r>
        <w:rPr>
          <w:rFonts w:ascii="Calibri" w:hAnsi="Calibri" w:cs="Calibri"/>
          <w:color w:val="1A1A1A"/>
          <w:sz w:val="21"/>
          <w:szCs w:val="21"/>
        </w:rPr>
        <w:t xml:space="preserve"> pe setul de validare.</w:t>
      </w:r>
    </w:p>
    <w:p w14:paraId="32DCFB96" w14:textId="77777777" w:rsidR="00F75FE4" w:rsidRDefault="00F75FE4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1BD9E651">
          <v:rect id="_x0000_i1032" style="width:0;height:1.5pt" o:hralign="center" o:hrstd="t" o:hr="t" fillcolor="#a0a0a0" stroked="f"/>
        </w:pict>
      </w:r>
    </w:p>
    <w:p w14:paraId="62AC8295" w14:textId="77777777" w:rsidR="00F75FE4" w:rsidRDefault="00F75FE4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WAVE 2 — Fiscalitate avansată + Lanț valoric (O2C / P2P / Stocuri) · M9–M20 · Squad S1, S3, S4</w:t>
      </w:r>
    </w:p>
    <w:p w14:paraId="0F1A66D9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Obiectiv:</w:t>
      </w:r>
      <w:r>
        <w:rPr>
          <w:rFonts w:ascii="Calibri" w:hAnsi="Calibri" w:cs="Calibri"/>
          <w:color w:val="1A1A1A"/>
          <w:sz w:val="21"/>
          <w:szCs w:val="21"/>
        </w:rPr>
        <w:t xml:space="preserve"> conformitate ANAF </w:t>
      </w:r>
      <w:r>
        <w:rPr>
          <w:rStyle w:val="Robust"/>
          <w:rFonts w:ascii="Calibri" w:hAnsi="Calibri" w:cs="Calibri"/>
          <w:sz w:val="21"/>
          <w:szCs w:val="21"/>
        </w:rPr>
        <w:t>integrală</w:t>
      </w:r>
      <w:r>
        <w:rPr>
          <w:rFonts w:ascii="Calibri" w:hAnsi="Calibri" w:cs="Calibri"/>
          <w:color w:val="1A1A1A"/>
          <w:sz w:val="21"/>
          <w:szCs w:val="21"/>
        </w:rPr>
        <w:t xml:space="preserve"> (SAF-T, e-Transport, toate declarațiile) + fluxurile comerciale complete.</w:t>
      </w:r>
    </w:p>
    <w:p w14:paraId="02E848B6" w14:textId="77777777" w:rsidR="00F75FE4" w:rsidRDefault="00F75FE4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2A. Fiscalitate avansată (S1)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9024"/>
        <w:gridCol w:w="4134"/>
      </w:tblGrid>
      <w:tr w:rsidR="00000000" w14:paraId="252CE24D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3A123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Sub-pas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DA5067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Activități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4B70A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Rezultate măsurabile</w:t>
            </w:r>
          </w:p>
        </w:tc>
      </w:tr>
      <w:tr w:rsidR="00000000" w14:paraId="24C03A6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F269B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2A.1 SAF-T D406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CF08E4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Generator XML din XSD ANAF (greenfield; pattern export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DATEV metasfresh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 — nomenclatoare, conturi, parteneri, stocuri, active; validare DUKIntegrator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950A7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D406 generat + validat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pe firmă reală; toate secțiunile obligatorii</w:t>
            </w:r>
          </w:p>
        </w:tc>
      </w:tr>
      <w:tr w:rsidR="00000000" w14:paraId="15E25F5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8D1E7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2A.2 e-Transport (UIT)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D78D89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Client API ANAF (ref.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e-factura-go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/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anafpy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5D787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UIT emis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în sandbox+prod; anulare/modificare vehicul</w:t>
            </w:r>
          </w:p>
        </w:tc>
      </w:tr>
      <w:tr w:rsidR="00000000" w14:paraId="766F7A1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6F7F3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2A.3 Restul declarațiilor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70442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D100, D101, D390 (VIES), Intrastat, D700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F4ABC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Toate generabile + validate DUKIntegrator</w:t>
            </w:r>
          </w:p>
        </w:tc>
      </w:tr>
      <w:tr w:rsidR="00000000" w14:paraId="6D15A3F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AB9B0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2A.4 Modul transmitere unificat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67FB5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Certificate digitale, DUKIntegrator, recipise, arhivă, audit trail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222C9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Transmitere end-to-end + arhivă căutabilă; audit trail complet</w:t>
            </w:r>
          </w:p>
        </w:tc>
      </w:tr>
    </w:tbl>
    <w:p w14:paraId="723F8E38" w14:textId="77777777" w:rsidR="00F75FE4" w:rsidRDefault="00F75FE4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2B. Order-to-Cash &amp; CRM light (S4)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7129"/>
        <w:gridCol w:w="6027"/>
      </w:tblGrid>
      <w:tr w:rsidR="00000000" w14:paraId="42867595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3FFEB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Sub-pas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1C975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Activități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E7AA8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Rezultate măsurabile</w:t>
            </w:r>
          </w:p>
        </w:tc>
      </w:tr>
      <w:tr w:rsidR="00000000" w14:paraId="1D0382E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599BD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2B.1 Ciclu vânzări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BD32BE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Ofertă→comandă→livrare→factură→încasare; e-Factura B2C automat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508B7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Ciclu O2C complet end-to-end; e-Factura B2C trimisă la SPV</w:t>
            </w:r>
          </w:p>
        </w:tc>
      </w:tr>
      <w:tr w:rsidR="00000000" w14:paraId="61EE7F1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C127D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2B.2 Credit &amp; clienți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213F3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Limite de credit, blocaje, scadențar, penalități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83D77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Blocaj automat la depășire credit; scadențar corect</w:t>
            </w:r>
          </w:p>
        </w:tc>
      </w:tr>
      <w:tr w:rsidR="00000000" w14:paraId="48F410E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8EADC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2B.3 CRM pipeline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ACD6D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Lead→oportunitate→ofertă; activități, pipeline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BB27D7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Pipeline vizual; conversie lead→comandă urmăribilă</w:t>
            </w:r>
          </w:p>
        </w:tc>
      </w:tr>
    </w:tbl>
    <w:p w14:paraId="5638ADA1" w14:textId="77777777" w:rsidR="00F75FE4" w:rsidRDefault="00F75FE4">
      <w:pPr>
        <w:pStyle w:val="Titlu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2C. Procure-to-Pay &amp; Stocuri (S3)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6"/>
        <w:gridCol w:w="6511"/>
        <w:gridCol w:w="4995"/>
      </w:tblGrid>
      <w:tr w:rsidR="00000000" w14:paraId="57D46C0E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69D92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Sub-pas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BD451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Activități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10C14E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Rezultate măsurabile</w:t>
            </w:r>
          </w:p>
        </w:tc>
      </w:tr>
      <w:tr w:rsidR="00000000" w14:paraId="690D1BB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424110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2C.1 Ciclu achiziții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C6C37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Cerere→comandă→recepție(NIR)→factură; fluxuri de aprobare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45EFC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Ciclu P2P complet cu aprobări multi-nivel</w:t>
            </w:r>
          </w:p>
        </w:tc>
      </w:tr>
      <w:tr w:rsidR="00000000" w14:paraId="305960D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EDBEC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2C.2 Gestiune cantitativ-valorică RO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BDD7E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Metode valorizare (FIFO/CMP), loturi, serii, NIR, bon consum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1178E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Gestiune = SAGA pe mișcări de test; NIR generat</w:t>
            </w:r>
          </w:p>
        </w:tc>
      </w:tr>
      <w:tr w:rsidR="00000000" w14:paraId="0C792B3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E5B14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2C.3 OCR facturi furnizor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D01849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Import + OCR + potrivire cu comanda (integrare AI din W4)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409AA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≥ 80% facturi furnizor procesate semi-automat</w:t>
            </w:r>
          </w:p>
        </w:tc>
      </w:tr>
    </w:tbl>
    <w:p w14:paraId="1F7AD7AF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Gate M20:</w:t>
      </w:r>
      <w:r>
        <w:rPr>
          <w:rFonts w:ascii="Calibri" w:hAnsi="Calibri" w:cs="Calibri"/>
          <w:color w:val="1A1A1A"/>
          <w:sz w:val="21"/>
          <w:szCs w:val="21"/>
        </w:rPr>
        <w:t xml:space="preserve"> conformitate ANAF 100% (toate declarațiile) + fluxurile comerciale complete pe firmă pilot.</w:t>
      </w:r>
    </w:p>
    <w:p w14:paraId="46B12918" w14:textId="77777777" w:rsidR="00F75FE4" w:rsidRDefault="00F75FE4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11657923">
          <v:rect id="_x0000_i1033" style="width:0;height:1.5pt" o:hralign="center" o:hrstd="t" o:hr="t" fillcolor="#a0a0a0" stroked="f"/>
        </w:pict>
      </w:r>
    </w:p>
    <w:p w14:paraId="1582535D" w14:textId="77777777" w:rsidR="00F75FE4" w:rsidRDefault="00F75FE4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WAVE 3 — WMS, Producție, POS/Retail, SSM/ISU, BI · M15–M26 · Squad S3, S4, S5, S2</w:t>
      </w:r>
    </w:p>
    <w:p w14:paraId="43C4E1DD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Obiectiv:</w:t>
      </w:r>
      <w:r>
        <w:rPr>
          <w:rFonts w:ascii="Calibri" w:hAnsi="Calibri" w:cs="Calibri"/>
          <w:color w:val="1A1A1A"/>
          <w:sz w:val="21"/>
          <w:szCs w:val="21"/>
        </w:rPr>
        <w:t xml:space="preserve"> paritate operațională SMB + primele dashboards + zona SSM (diferențiator RO).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8628"/>
        <w:gridCol w:w="4586"/>
      </w:tblGrid>
      <w:tr w:rsidR="00000000" w14:paraId="7B2765A1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19B54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Sub-pas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4C1E0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Activități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2936C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Rezultate măsurabile</w:t>
            </w:r>
          </w:p>
        </w:tc>
      </w:tr>
      <w:tr w:rsidR="00000000" w14:paraId="6E56ACC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72BC90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3.1 WMS (S3)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B8A98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Locații, pick/pack, coduri de bare, inventariere, mobil depozit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4C188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Scanare mobilă funcțională; acuratețe inventar ≥ 99%</w:t>
            </w:r>
          </w:p>
        </w:tc>
      </w:tr>
      <w:tr w:rsidR="00000000" w14:paraId="30EE178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2EC95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3.2 Producție/MRP (S3)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EF35C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Libero Manufacturing + calcul cost, planificare, BOM/rute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EEA99E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Ordin de producție cu cost calculat; MRP generează necesar</w:t>
            </w:r>
          </w:p>
        </w:tc>
      </w:tr>
      <w:tr w:rsidR="00000000" w14:paraId="25314AF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0A272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3.3 Proiecte (S3)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8D067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Bugete proiect, pontaj pe proiect, facturare pe proiect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3CFFE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Proiect cu buget vs. realizat; facturare pe proiect</w:t>
            </w:r>
          </w:p>
        </w:tc>
      </w:tr>
      <w:tr w:rsidR="00000000" w14:paraId="440352D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165CC4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3.4 POS/Retail fiscal RO (S4)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F1C66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POS + integrare casă de marcat fiscală RO (AMEF), bon fiscal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548F1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Tranzacție POS cu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bon fiscal RO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emis; raport Z</w:t>
            </w:r>
          </w:p>
        </w:tc>
      </w:tr>
      <w:tr w:rsidR="00000000" w14:paraId="7E4E1B0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8E770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3.5 Portal client/webstore (S4)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79D8E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Self-service, comenzi online, e-Factura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82218E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Client plasează comandă online → factură automată</w:t>
            </w:r>
          </w:p>
        </w:tc>
      </w:tr>
      <w:tr w:rsidR="00000000" w14:paraId="2C798EF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70B31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3.6 SSM/ISU RO (S2)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934C74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Fișe instruire individuală, tematici, periodicități, medicina muncii, EPP, registre SSM, evidențe ISU/PSI (greenfield; model din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OCA/management-system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E8C279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Fișă de instruire generată; alertă expirare instruire/aptitudine; registru SSM</w:t>
            </w:r>
          </w:p>
        </w:tc>
      </w:tr>
      <w:tr w:rsidR="00000000" w14:paraId="43C98A6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6EB967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3.7 BI &amp; dashboards (S5)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CB812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Data warehouse semantic; dashboards pe roluri (CFO/HR/ops); Jasper + Metabase + SearchIndex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27969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≥ 15 dashboards live; drill-down funcțional; export</w:t>
            </w:r>
          </w:p>
        </w:tc>
      </w:tr>
    </w:tbl>
    <w:p w14:paraId="25D07ACD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Gate M26: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>ERP operațional complet SMB (finanțe+fiscal+HR+SCM+producție+vânzări+POS+SSM+BI) pe ≥ 3 firme pilot.</w:t>
      </w:r>
    </w:p>
    <w:p w14:paraId="4A03D6F9" w14:textId="77777777" w:rsidR="00F75FE4" w:rsidRDefault="00F75FE4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lastRenderedPageBreak/>
        <w:pict w14:anchorId="7CE4E0AB">
          <v:rect id="_x0000_i1034" style="width:0;height:1.5pt" o:hralign="center" o:hrstd="t" o:hr="t" fillcolor="#a0a0a0" stroked="f"/>
        </w:pict>
      </w:r>
    </w:p>
    <w:p w14:paraId="105AF9C2" w14:textId="77777777" w:rsidR="00F75FE4" w:rsidRDefault="00F75FE4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WAVE 4 — AI/Copilot, Platformă, Cloud/SaaS, Mobil, Securitate/GDPR · M20–M32 · Squad S0, S5</w:t>
      </w:r>
    </w:p>
    <w:p w14:paraId="0D2C3F27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Obiectiv:</w:t>
      </w:r>
      <w:r>
        <w:rPr>
          <w:rFonts w:ascii="Calibri" w:hAnsi="Calibri" w:cs="Calibri"/>
          <w:color w:val="1A1A1A"/>
          <w:sz w:val="21"/>
          <w:szCs w:val="21"/>
        </w:rPr>
        <w:t xml:space="preserve"> nivelul „modern cloud ERP" — AI, SaaS multi-tenant, mobil, securitate enterprise.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7080"/>
        <w:gridCol w:w="5730"/>
      </w:tblGrid>
      <w:tr w:rsidR="00000000" w14:paraId="58DA986F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7F6D1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Sub-pas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88245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Activități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E68DC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Rezultate măsurabile</w:t>
            </w:r>
          </w:p>
        </w:tc>
      </w:tr>
      <w:tr w:rsidR="00000000" w14:paraId="30263F7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16C58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4.1 AI Copilot (S5)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A562E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Asistent limbaj natural (ref.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idempiere-mcp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+ LLM); OCR facturi; detecție anomalii; sugestii contabile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D0FA7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Asistent răspunde la ≥ 20 intenții reale; OCR acuratețe ≥ 90%; anomalii detectate</w:t>
            </w:r>
          </w:p>
        </w:tc>
      </w:tr>
      <w:tr w:rsidR="00000000" w14:paraId="2B9AA10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5D789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4.2 Automatizări/workflow (S5)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E83A2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Aprobări, alerte, reguli, RPA fiscal (depunere automată)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0CE42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Flux de aprobare configurabil no-code; depunere automată declarații</w:t>
            </w:r>
          </w:p>
        </w:tc>
      </w:tr>
      <w:tr w:rsidR="00000000" w14:paraId="39DF0D1A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1FC3E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4.3 Cloud/SaaS multi-tenant (S0)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AC8B7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Docker/Kubernetes, izolare tenant, provisioning, billing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6FB77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Instanță multi-tenant; onboarding tenant nou &lt; 1h; billing per tenant</w:t>
            </w:r>
          </w:p>
        </w:tc>
      </w:tr>
      <w:tr w:rsidR="00000000" w14:paraId="3096FD7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067E5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4.4 Aplicații mobile (S0)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2A2FB7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Aprobări, pontaj, vânzări teren, depozit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75645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App mobil publicat (Android/iOS); 4 fluxuri cheie</w:t>
            </w:r>
          </w:p>
        </w:tc>
      </w:tr>
      <w:tr w:rsidR="00000000" w14:paraId="700C492A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860630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4.5 Securitate &amp; SSO (S0)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A8180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SSO Azure/OIDC, RBAC fin, criptare, audit,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pen-test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ADE3E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SSO funcțional;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audit de securitate trecut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; 0 vulnerabilități critice</w:t>
            </w:r>
          </w:p>
        </w:tc>
      </w:tr>
      <w:tr w:rsidR="00000000" w14:paraId="7142C5B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5FB809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4.6 GDPR (S0)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23FAC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Consimțământ, retenție, drept la ștergere, DPIA, jurnal acces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585F09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Registru prelucrări; export/ștergere date la cerere; DPIA aprobată</w:t>
            </w:r>
          </w:p>
        </w:tc>
      </w:tr>
      <w:tr w:rsidR="00000000" w14:paraId="34D1F66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A7070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4.7 Integrare/API (S0)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C51E1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Connectors (bănci, curieri, marketplace), EDI, webhooks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1F1E1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≥ 5 connectors live; webhooks funcționale; EDI testat</w:t>
            </w:r>
          </w:p>
        </w:tc>
      </w:tr>
    </w:tbl>
    <w:p w14:paraId="75E6A109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Gate M32: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EVA rulează ca </w:t>
      </w:r>
      <w:r>
        <w:rPr>
          <w:rStyle w:val="Robust"/>
          <w:rFonts w:ascii="Calibri" w:hAnsi="Calibri" w:cs="Calibri"/>
          <w:sz w:val="21"/>
          <w:szCs w:val="21"/>
        </w:rPr>
        <w:t>SaaS multi-tenant</w:t>
      </w:r>
      <w:r>
        <w:rPr>
          <w:rFonts w:ascii="Calibri" w:hAnsi="Calibri" w:cs="Calibri"/>
          <w:color w:val="1A1A1A"/>
          <w:sz w:val="21"/>
          <w:szCs w:val="21"/>
        </w:rPr>
        <w:t xml:space="preserve"> securizat, cu AI Copilot și aplicații mobile.</w:t>
      </w:r>
    </w:p>
    <w:p w14:paraId="2BBCCB62" w14:textId="77777777" w:rsidR="00F75FE4" w:rsidRDefault="00F75FE4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738BFFB9">
          <v:rect id="_x0000_i1035" style="width:0;height:1.5pt" o:hralign="center" o:hrstd="t" o:hr="t" fillcolor="#a0a0a0" stroked="f"/>
        </w:pict>
      </w:r>
    </w:p>
    <w:p w14:paraId="04D344D9" w14:textId="77777777" w:rsidR="00F75FE4" w:rsidRDefault="00F75FE4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WAVE 5 — UX modern, Paritate, Migrare, Ecosistem, Go-to-market · M27–M36 · Squad S5 + GTM</w:t>
      </w:r>
    </w:p>
    <w:p w14:paraId="3804EEEE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Obiectiv:</w:t>
      </w:r>
      <w:r>
        <w:rPr>
          <w:rFonts w:ascii="Calibri" w:hAnsi="Calibri" w:cs="Calibri"/>
          <w:color w:val="1A1A1A"/>
          <w:sz w:val="21"/>
          <w:szCs w:val="21"/>
        </w:rPr>
        <w:t xml:space="preserve"> experiență și ecosistem comparabile cu Dynamics + trecerea piloților în producție.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  <w:gridCol w:w="6712"/>
        <w:gridCol w:w="5150"/>
      </w:tblGrid>
      <w:tr w:rsidR="00000000" w14:paraId="58CA761C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4EFFD9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Sub-pas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B9E41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Activități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6F883E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Rezultate măsurabile</w:t>
            </w:r>
          </w:p>
        </w:tc>
      </w:tr>
      <w:tr w:rsidR="00000000" w14:paraId="5DB0750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21E3D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5.1 UX modern &amp; Role Centers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2F915E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Temă modernă, role centers pe funcție, personalizare, onboarding în-app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E8953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Role center pentru ≥ 6 roluri; scor SUS usability ≥ 75</w:t>
            </w:r>
          </w:p>
        </w:tc>
      </w:tr>
      <w:tr w:rsidR="00000000" w14:paraId="7769E8F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8693E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5.2 Unelte de migrare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E45F7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Migratoare din SAGA / Dynamics / Excel; validare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2EC5E0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Migrare firmă SAGA în &lt; 1 zi, cu reconciliere automată</w:t>
            </w:r>
          </w:p>
        </w:tc>
      </w:tr>
      <w:tr w:rsidR="00000000" w14:paraId="53838CA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1ADCE4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5.3 Documentație &amp; training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98E13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Manuale, cursuri, certificare, KB, video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057C70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Bibliotecă docs completă; program de certificare lansat</w:t>
            </w:r>
          </w:p>
        </w:tc>
      </w:tr>
      <w:tr w:rsidR="00000000" w14:paraId="5274B8F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B7FD2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5.4 Ecosistem / marketplace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78494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Repo de extensii (ref. </w:t>
            </w:r>
            <w:r>
              <w:rPr>
                <w:rStyle w:val="CodHTML"/>
              </w:rPr>
              <w:t>idempiere-extension-repository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), SDK parteneri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A080A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Marketplace intern cu ≥ 10 extensii; SDK publicat</w:t>
            </w:r>
          </w:p>
        </w:tc>
      </w:tr>
      <w:tr w:rsidR="00000000" w14:paraId="596CF59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E9F42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5.5 Benchmark paritate &amp; pilot→prod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48CDD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Măsurare scor matrice 0.1; trecere piloți în producție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0CAD9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Scor paritate ≥ 90%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; ≥ N clienți în producție; NPS măsurat</w:t>
            </w:r>
          </w:p>
        </w:tc>
      </w:tr>
    </w:tbl>
    <w:p w14:paraId="44176DDD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Gate M36 (final):</w:t>
      </w:r>
      <w:r>
        <w:rPr>
          <w:rFonts w:ascii="Calibri" w:hAnsi="Calibri" w:cs="Calibri"/>
          <w:color w:val="1A1A1A"/>
          <w:sz w:val="21"/>
          <w:szCs w:val="21"/>
        </w:rPr>
        <w:t xml:space="preserve"> EVA-contab = ERP SMB complet, localizat RO, cloud, comparabil funcțional cu Dynamics 365 Business Central, cu clienți în producție.</w:t>
      </w:r>
    </w:p>
    <w:p w14:paraId="51DE8B5B" w14:textId="77777777" w:rsidR="00F75FE4" w:rsidRDefault="00F75FE4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5CDE42EF">
          <v:rect id="_x0000_i1036" style="width:0;height:1.5pt" o:hralign="center" o:hrstd="t" o:hr="t" fillcolor="#a0a0a0" stroked="f"/>
        </w:pict>
      </w:r>
    </w:p>
    <w:p w14:paraId="6194F441" w14:textId="77777777" w:rsidR="00F75FE4" w:rsidRDefault="00F75FE4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Rezumat milestone-uri &amp; criterii de gate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860"/>
        <w:gridCol w:w="10273"/>
      </w:tblGrid>
      <w:tr w:rsidR="00000000" w14:paraId="17F9AFFC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6B456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52F19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Lună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0BE269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Criteriu de trecere (măsurabil)</w:t>
            </w:r>
          </w:p>
        </w:tc>
      </w:tr>
      <w:tr w:rsidR="00000000" w14:paraId="467B5F6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E1283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M3 — Fundație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D0C5B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3E8B8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Build &lt; 15 min; arhitectură + ADR; plugin demo pe v13; squad-uri deblocate</w:t>
            </w:r>
          </w:p>
        </w:tc>
      </w:tr>
      <w:tr w:rsidR="00000000" w14:paraId="612B11E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08F14E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M12 — MVP SAGA replacement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1DF7D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BA6114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Contabilitate+TVA+e-Factura+salarii+D112+REGES = SAGA (diferență 0) pe firmă reală</w:t>
            </w:r>
          </w:p>
        </w:tc>
      </w:tr>
      <w:tr w:rsidR="00000000" w14:paraId="30171B1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5AE2B9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M20 — Conformitate + comercial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B8AD3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D936C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100% declarații ANAF validate DUKIntegrator; O2C+P2P+stocuri complete</w:t>
            </w:r>
          </w:p>
        </w:tc>
      </w:tr>
      <w:tr w:rsidR="00000000" w14:paraId="04DB3A3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769D3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M26 — ERP operațional complet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7B183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5D7EEE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Toate modulele SMB + SSM + BI pe ≥ 3 piloți</w:t>
            </w:r>
          </w:p>
        </w:tc>
      </w:tr>
      <w:tr w:rsidR="00000000" w14:paraId="694C123A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543973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M32 — Cloud/AI/Mobil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2CCDD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E17B8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SaaS multi-tenant + Copilot + mobil + audit securitate trecut</w:t>
            </w:r>
          </w:p>
        </w:tc>
      </w:tr>
      <w:tr w:rsidR="00000000" w14:paraId="3465785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64196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M36 — Paritate BC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2F788E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30CE41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Scor paritate ≥ 90%; clienți în producție; NPS măsurat</w:t>
            </w:r>
          </w:p>
        </w:tc>
      </w:tr>
    </w:tbl>
    <w:p w14:paraId="33C59A10" w14:textId="77777777" w:rsidR="00F75FE4" w:rsidRDefault="00F75FE4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55BAA5DC">
          <v:rect id="_x0000_i1037" style="width:0;height:1.5pt" o:hralign="center" o:hrstd="t" o:hr="t" fillcolor="#a0a0a0" stroked="f"/>
        </w:pict>
      </w:r>
    </w:p>
    <w:p w14:paraId="3EB41B19" w14:textId="77777777" w:rsidR="00F75FE4" w:rsidRDefault="00F75FE4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Registru de riscuri (principale)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5"/>
        <w:gridCol w:w="880"/>
        <w:gridCol w:w="7827"/>
      </w:tblGrid>
      <w:tr w:rsidR="00000000" w14:paraId="36ADCEF9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806C4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Risc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C652E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675ED4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Mitigare</w:t>
            </w:r>
          </w:p>
        </w:tc>
      </w:tr>
      <w:tr w:rsidR="00000000" w14:paraId="3E17B54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E9E5C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Schimbări legislative frecvente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(cote, declarații, e-Factura)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20A310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Ridicat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1C7740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Parametri versionați + echipă fiscal dedicată + DUKIntegrator ca validator oficial</w:t>
            </w:r>
          </w:p>
        </w:tc>
      </w:tr>
      <w:tr w:rsidR="00000000" w14:paraId="4425294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93504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SAF-T D406 fără bază open-source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(greenfield)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7B4639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Ridicat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41ECC5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Start devreme din XSD ANAF; buffer de timp; pattern DATEV metasfresh</w:t>
            </w:r>
          </w:p>
        </w:tc>
      </w:tr>
      <w:tr w:rsidR="00000000" w14:paraId="5BE229D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ACFE87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Licențiere AGPL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(OCA l10n-romania, declaratii-anaf)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AD5F4D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Mediu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2DFA2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Tratate ca </w:t>
            </w:r>
            <w:r>
              <w:rPr>
                <w:rStyle w:val="Accentuat"/>
                <w:rFonts w:ascii="Calibri" w:eastAsia="Times New Roman" w:hAnsi="Calibri" w:cs="Calibri"/>
                <w:color w:val="1A1A1A"/>
                <w:sz w:val="18"/>
                <w:szCs w:val="18"/>
              </w:rPr>
              <w:t>specificație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, nu copy-paste; alternative permisive (ph-ubl/phive Apache)</w:t>
            </w:r>
          </w:p>
        </w:tc>
      </w:tr>
      <w:tr w:rsidR="00000000" w14:paraId="3AE01AB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6D0DFB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Portare pe iDempiere 13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a modulelor testate pe v10–12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BE1D72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Mediu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7C47EE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Faza 0 validează portarea; teste de regresie</w:t>
            </w:r>
          </w:p>
        </w:tc>
      </w:tr>
      <w:tr w:rsidR="00000000" w14:paraId="7483BBD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6D296F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Dependență de furnizori externi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(AMEF/casă fiscală, bănci, ANAF API)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DB558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Mediu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6DCDF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Simulator ANAF (</w:t>
            </w:r>
            <w:r>
              <w:rPr>
                <w:rStyle w:val="CodHTML"/>
              </w:rPr>
              <w:t>anaf-api-simulator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); abstractizare integrări</w:t>
            </w:r>
          </w:p>
        </w:tc>
      </w:tr>
      <w:tr w:rsidR="00000000" w14:paraId="40A3D86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CB41DC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Complexitate coordonare 6 squad-uri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AA8BD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Mediu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C34E6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Guild de arhitectură, release train lunar, contracte de interfață între module</w:t>
            </w:r>
          </w:p>
        </w:tc>
      </w:tr>
      <w:tr w:rsidR="00000000" w14:paraId="359EC82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B2B5F8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Adopție / schimbare de la SAGA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FBEC46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Mediu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A3F29A" w14:textId="77777777" w:rsidR="00F75FE4" w:rsidRDefault="00F75FE4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Unelte de migrare + piloți + training + comparație paralelă</w:t>
            </w:r>
          </w:p>
        </w:tc>
      </w:tr>
    </w:tbl>
    <w:p w14:paraId="277046B9" w14:textId="77777777" w:rsidR="00F75FE4" w:rsidRDefault="00F75FE4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7479DD5C">
          <v:rect id="_x0000_i1038" style="width:0;height:1.5pt" o:hralign="center" o:hrstd="t" o:hr="t" fillcolor="#a0a0a0" stroked="f"/>
        </w:pict>
      </w:r>
    </w:p>
    <w:p w14:paraId="1955EB8B" w14:textId="77777777" w:rsidR="00F75FE4" w:rsidRDefault="00F75FE4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Principii de „Definition of Done" (calitate, la fiecare pas)</w:t>
      </w:r>
    </w:p>
    <w:p w14:paraId="103A0027" w14:textId="77777777" w:rsidR="00F75FE4" w:rsidRDefault="00F75FE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Cod cu teste automate (unit + integrare), coverage ≥ 70% pe modul EVA.</w:t>
      </w:r>
    </w:p>
    <w:p w14:paraId="1C2484AE" w14:textId="77777777" w:rsidR="00F75FE4" w:rsidRDefault="00F75FE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Fiecare funcție fiscală </w:t>
      </w:r>
      <w:r>
        <w:rPr>
          <w:rStyle w:val="Robust"/>
          <w:rFonts w:ascii="Calibri" w:eastAsia="Times New Roman" w:hAnsi="Calibri" w:cs="Calibri"/>
          <w:sz w:val="21"/>
          <w:szCs w:val="21"/>
        </w:rPr>
        <w:t>validată cu DUKIntegrator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și/sau </w:t>
      </w:r>
      <w:r>
        <w:rPr>
          <w:rStyle w:val="Robust"/>
          <w:rFonts w:ascii="Calibri" w:eastAsia="Times New Roman" w:hAnsi="Calibri" w:cs="Calibri"/>
          <w:sz w:val="21"/>
          <w:szCs w:val="21"/>
        </w:rPr>
        <w:t>comparată cu SAGA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(diferență 0).</w:t>
      </w:r>
    </w:p>
    <w:p w14:paraId="4002B6A4" w14:textId="77777777" w:rsidR="00F75FE4" w:rsidRDefault="00F75FE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Parametri legislativi în cadrul versionat, niciodată hardcodați.</w:t>
      </w:r>
    </w:p>
    <w:p w14:paraId="43258A98" w14:textId="77777777" w:rsidR="00F75FE4" w:rsidRDefault="00F75FE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Documentație de utilizator + release notes.</w:t>
      </w:r>
    </w:p>
    <w:p w14:paraId="1242BAF8" w14:textId="77777777" w:rsidR="00F75FE4" w:rsidRDefault="00F75FE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Trecere quality gate (SonarQube) + review de securitate pentru zonele sensibile.</w:t>
      </w:r>
    </w:p>
    <w:p w14:paraId="250B7617" w14:textId="77777777" w:rsidR="00F75FE4" w:rsidRDefault="00F75FE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Licența fiecărei dependențe verificată și înregistrată.</w:t>
      </w:r>
    </w:p>
    <w:p w14:paraId="43BE1A76" w14:textId="77777777" w:rsidR="00F75FE4" w:rsidRDefault="00F75FE4">
      <w:pPr>
        <w:spacing w:before="210" w:after="21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022DF69B">
          <v:rect id="_x0000_i1039" style="width:0;height:1.5pt" o:hralign="center" o:hrstd="t" o:hr="t" fillcolor="#a0a0a0" stroked="f"/>
        </w:pict>
      </w:r>
    </w:p>
    <w:p w14:paraId="6F09ECFE" w14:textId="77777777" w:rsidR="00F75FE4" w:rsidRDefault="00F75FE4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Accentuat"/>
          <w:rFonts w:ascii="Calibri" w:hAnsi="Calibri" w:cs="Calibri"/>
          <w:color w:val="1A1A1A"/>
          <w:sz w:val="21"/>
          <w:szCs w:val="21"/>
        </w:rPr>
        <w:t>Plan generat pe baza „Catalogului de module și surse open-source pentru localizarea RO — EVA-contab" (fișier companion). Termenele presupun echipă de 20+ persoane cu 6 squad-uri paralele; se ajustează proporțional cu resursele.</w:t>
      </w:r>
    </w:p>
    <w:sectPr w:rsidR="00F75FE4" w:rsidSect="00DF4F7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70310"/>
    <w:multiLevelType w:val="multilevel"/>
    <w:tmpl w:val="6BCC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02FE2"/>
    <w:multiLevelType w:val="multilevel"/>
    <w:tmpl w:val="6F8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399938">
    <w:abstractNumId w:val="0"/>
  </w:num>
  <w:num w:numId="2" w16cid:durableId="214893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78"/>
    <w:rsid w:val="001335BC"/>
    <w:rsid w:val="00DF4F78"/>
    <w:rsid w:val="00F7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D3407F7"/>
  <w15:chartTrackingRefBased/>
  <w15:docId w15:val="{DE5A283B-5666-439F-8B76-5E4734D5F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lu1">
    <w:name w:val="heading 1"/>
    <w:basedOn w:val="Normal"/>
    <w:link w:val="Titlu1Caracter"/>
    <w:uiPriority w:val="9"/>
    <w:qFormat/>
    <w:pPr>
      <w:pBdr>
        <w:bottom w:val="single" w:sz="12" w:space="3" w:color="2E74B5"/>
      </w:pBdr>
      <w:spacing w:before="270" w:after="100" w:afterAutospacing="1"/>
      <w:outlineLvl w:val="0"/>
    </w:pPr>
    <w:rPr>
      <w:b/>
      <w:bCs/>
      <w:color w:val="1F3864"/>
      <w:kern w:val="36"/>
      <w:sz w:val="38"/>
      <w:szCs w:val="38"/>
    </w:rPr>
  </w:style>
  <w:style w:type="paragraph" w:styleId="Titlu2">
    <w:name w:val="heading 2"/>
    <w:basedOn w:val="Normal"/>
    <w:link w:val="Titlu2Caracter"/>
    <w:uiPriority w:val="9"/>
    <w:qFormat/>
    <w:pPr>
      <w:pBdr>
        <w:bottom w:val="single" w:sz="6" w:space="2" w:color="BDD7EE"/>
      </w:pBdr>
      <w:spacing w:before="240" w:after="100" w:afterAutospacing="1"/>
      <w:outlineLvl w:val="1"/>
    </w:pPr>
    <w:rPr>
      <w:b/>
      <w:bCs/>
      <w:color w:val="2E74B5"/>
      <w:sz w:val="27"/>
      <w:szCs w:val="27"/>
    </w:rPr>
  </w:style>
  <w:style w:type="paragraph" w:styleId="Titlu3">
    <w:name w:val="heading 3"/>
    <w:basedOn w:val="Normal"/>
    <w:link w:val="Titlu3Caracter"/>
    <w:uiPriority w:val="9"/>
    <w:qFormat/>
    <w:pPr>
      <w:spacing w:before="180" w:after="100" w:afterAutospacing="1"/>
      <w:outlineLvl w:val="2"/>
    </w:pPr>
    <w:rPr>
      <w:b/>
      <w:bCs/>
      <w:color w:val="1F4E79"/>
      <w:sz w:val="23"/>
      <w:szCs w:val="23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CodHTML">
    <w:name w:val="HTML Code"/>
    <w:basedOn w:val="Fontdeparagrafimplicit"/>
    <w:uiPriority w:val="99"/>
    <w:semiHidden/>
    <w:unhideWhenUsed/>
    <w:rPr>
      <w:rFonts w:ascii="Consolas" w:eastAsiaTheme="minorEastAsia" w:hAnsi="Consolas" w:cs="Courier New" w:hint="default"/>
      <w:color w:val="AA1111"/>
      <w:sz w:val="17"/>
      <w:szCs w:val="17"/>
      <w:shd w:val="clear" w:color="auto" w:fill="F0F2F5"/>
    </w:rPr>
  </w:style>
  <w:style w:type="character" w:customStyle="1" w:styleId="Titlu1Caracter">
    <w:name w:val="Titlu 1 Caracter"/>
    <w:basedOn w:val="Fontdeparagrafimplicit"/>
    <w:link w:val="Titlu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Robust">
    <w:name w:val="Strong"/>
    <w:basedOn w:val="Fontdeparagrafimplicit"/>
    <w:uiPriority w:val="22"/>
    <w:qFormat/>
    <w:rPr>
      <w:b/>
      <w:bCs/>
      <w:color w:val="111111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Accentuat">
    <w:name w:val="Emphasis"/>
    <w:basedOn w:val="Fontdeparagrafimplici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545650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2E74B5"/>
        <w:bottom w:val="none" w:sz="0" w:space="0" w:color="auto"/>
        <w:right w:val="none" w:sz="0" w:space="0" w:color="auto"/>
      </w:divBdr>
    </w:div>
    <w:div w:id="750658865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2E74B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2699</Words>
  <Characters>15655</Characters>
  <Application>Microsoft Office Word</Application>
  <DocSecurity>4</DocSecurity>
  <Lines>130</Lines>
  <Paragraphs>36</Paragraphs>
  <ScaleCrop>false</ScaleCrop>
  <Company/>
  <LinksUpToDate>false</LinksUpToDate>
  <CharactersWithSpaces>18318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implementare EVA-contab ERP</dc:title>
  <dc:subject/>
  <dc:creator>F2034</dc:creator>
  <cp:keywords/>
  <dc:description/>
  <cp:lastModifiedBy>F2034</cp:lastModifiedBy>
  <cp:revision>2</cp:revision>
  <dcterms:created xsi:type="dcterms:W3CDTF">2026-07-30T14:58:00Z</dcterms:created>
  <dcterms:modified xsi:type="dcterms:W3CDTF">2026-07-30T14:58:00Z</dcterms:modified>
</cp:coreProperties>
</file>