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30"/>
        </w:rPr>
        <w:t>BAUVERTRAG / WERKVERTRAG – AUSFUEHRUNG</w:t>
      </w:r>
    </w:p>
    <w:p/>
    <w:p>
      <w:pPr>
        <w:spacing w:after="160"/>
      </w:pPr>
      <w:r>
        <w:rPr>
          <w:b/>
          <w:i w:val="0"/>
          <w:color w:val="C00000"/>
          <w:sz w:val="18"/>
        </w:rPr>
        <w:t>SCHENTWURF / MODEL - vom Rechtsanwalt zu pruefen und anzupassen. Keine Rechtsberatung. Felder [ ] ausfuellen.</w:t>
      </w:r>
    </w:p>
    <w:p>
      <w:pPr>
        <w:spacing w:after="80"/>
      </w:pPr>
      <w:r>
        <w:rPr>
          <w:b/>
          <w:i w:val="0"/>
          <w:color w:val="C00000"/>
          <w:sz w:val="18"/>
        </w:rPr>
        <w:t>PE SCURT (RO): Contract cu EXECUTANTUL (antreprenor + Bauführer). Cheie: executie conform autorizatiei, ÖNORM B 2110, grafic de executie (etapele atasate), Haftrücklass 5-10 %, penalitati, asigurari, LSD-BG/BUAK.</w:t>
      </w:r>
    </w:p>
    <w:p>
      <w:pPr>
        <w:pStyle w:val="Heading1"/>
      </w:pPr>
      <w:r>
        <w:t>§ 1  Vertragsparteien</w:t>
      </w:r>
    </w:p>
    <w:p>
      <w:pPr>
        <w:spacing w:after="100"/>
      </w:pPr>
      <w:r>
        <w:rPr>
          <w:b w:val="0"/>
          <w:i w:val="0"/>
          <w:sz w:val="20"/>
        </w:rPr>
        <w:t>Dieser Vertrag wird abgeschlossen zwischen</w:t>
      </w:r>
    </w:p>
    <w:p>
      <w:pPr>
        <w:spacing w:after="60"/>
      </w:pPr>
      <w:r>
        <w:rPr>
          <w:b w:val="0"/>
          <w:i w:val="0"/>
          <w:sz w:val="20"/>
        </w:rPr>
        <w:t>A&amp;C Wohnart Immobilien GmbH, FN 668224h (Handelsgericht Wien), Parkring 2, 1010 Wien, vertreten durch den Geschaeftsfuehrer Cosmin Covaciu (im Folgenden „Auftraggeber“ / „AG“)</w:t>
      </w:r>
    </w:p>
    <w:p>
      <w:pPr>
        <w:spacing w:after="60"/>
      </w:pPr>
      <w:r>
        <w:rPr>
          <w:b w:val="0"/>
          <w:i w:val="0"/>
          <w:sz w:val="20"/>
        </w:rPr>
        <w:t>und</w:t>
      </w:r>
    </w:p>
    <w:p>
      <w:pPr>
        <w:spacing w:after="100"/>
      </w:pPr>
      <w:r>
        <w:rPr>
          <w:b w:val="0"/>
          <w:i w:val="0"/>
          <w:sz w:val="20"/>
        </w:rPr>
        <w:t>[Firma], [Adresse], [FN/GISA], Gewerbeberechtigung Baumeister (und weitere Gewerke), namhaft gemachter Baufuehrer: [Name, Befugnis] (im Folgenden „Auftragnehmer“ / „AN“).</w:t>
      </w:r>
    </w:p>
    <w:p>
      <w:pPr>
        <w:pStyle w:val="Heading1"/>
      </w:pPr>
      <w:r>
        <w:t>§ 2  Praeambel / Bauvorhaben</w:t>
      </w:r>
    </w:p>
    <w:p>
      <w:pPr>
        <w:spacing w:after="100"/>
      </w:pPr>
      <w:r>
        <w:rPr>
          <w:b w:val="0"/>
          <w:i w:val="0"/>
          <w:sz w:val="20"/>
        </w:rPr>
        <w:t>Bauvorhaben „Schallergasse 35, 1120 Wien“ (KG 01305 Meidling, EZ 2235, GST .1241): Dachgeschossausbau samt statischer Ertuechtigung, Aufzugszubau und Innenumbau, auf Grundlage des Baubescheids der MA 37 vom 21.04.2023, GZ MA37/1539234-2021-1.</w:t>
      </w:r>
    </w:p>
    <w:p>
      <w:pPr>
        <w:pStyle w:val="Heading1"/>
      </w:pPr>
      <w:r>
        <w:t>§ 3  Vertragsgegenstand / Leistungsumfang</w:t>
      </w:r>
    </w:p>
    <w:p>
      <w:pPr>
        <w:pStyle w:val="ListNumber"/>
        <w:spacing w:after="40"/>
      </w:pPr>
      <w:r>
        <w:rPr>
          <w:sz w:val="20"/>
        </w:rPr>
        <w:t>Ausfuehrung der Bauleistungen gemaess Baubescheid, genehmigten Plaenen, Ausfuehrungsplanung, Statik und Leistungsverzeichnis.</w:t>
      </w:r>
    </w:p>
    <w:p>
      <w:pPr>
        <w:pStyle w:val="ListNumber"/>
        <w:spacing w:after="40"/>
      </w:pPr>
      <w:r>
        <w:rPr>
          <w:sz w:val="20"/>
        </w:rPr>
        <w:t>Stellung des Baufuehrers gem. § 124 BO; Erstattung der Baubeginnsanzeige (min. 3 Tage vorher, buak.at) und Anbringung der Bautafel.</w:t>
      </w:r>
    </w:p>
    <w:p>
      <w:pPr>
        <w:pStyle w:val="ListNumber"/>
        <w:spacing w:after="40"/>
      </w:pPr>
      <w:r>
        <w:rPr>
          <w:sz w:val="20"/>
        </w:rPr>
        <w:t>Ausfuehrung in der vereinbarten Reihenfolge gemaess Bauzeitplan (Beilage „Etape_Executie_pe_Obiecte_Ordine“).</w:t>
      </w:r>
    </w:p>
    <w:p>
      <w:pPr>
        <w:pStyle w:val="ListNumber"/>
        <w:spacing w:after="40"/>
      </w:pPr>
      <w:r>
        <w:rPr>
          <w:sz w:val="20"/>
        </w:rPr>
        <w:t>Koordination der Subunternehmer; Zusammenwirken mit Pruefingenieur und BauKG-Koordinator; Anmeldung der Pruefphasen (Fundierung, Bewehrung).</w:t>
      </w:r>
    </w:p>
    <w:p>
      <w:pPr>
        <w:pStyle w:val="ListNumber"/>
        <w:spacing w:after="40"/>
      </w:pPr>
      <w:r>
        <w:rPr>
          <w:sz w:val="20"/>
        </w:rPr>
        <w:t>Beibringung der Nachweise zur Fertigstellung (Rauchfang-Hauptbefund, Trinkwasser, Rauchabzug, Aufzug-Abnahme).</w:t>
      </w:r>
    </w:p>
    <w:p>
      <w:pPr>
        <w:pStyle w:val="Heading1"/>
      </w:pPr>
      <w:r>
        <w:t>§ 4  Vertragsgrundlagen</w:t>
      </w:r>
    </w:p>
    <w:p>
      <w:pPr>
        <w:spacing w:after="100"/>
      </w:pPr>
      <w:r>
        <w:rPr>
          <w:b w:val="0"/>
          <w:i w:val="0"/>
          <w:sz w:val="20"/>
        </w:rPr>
        <w:t>Es gilt – soweit nicht abweichend vereinbart – die OENORM B 2110 (Allgemeine Vertragsbestimmungen fuer Bauleistungen). Bei Widerspruechen gilt die Reihenfolge: dieser Vertrag, Leistungsverzeichnis, Plaene, OENORM B 2110.</w:t>
      </w:r>
    </w:p>
    <w:p>
      <w:pPr>
        <w:pStyle w:val="Heading1"/>
      </w:pPr>
      <w:r>
        <w:t>§ 5  Termine / Bauzeit</w:t>
      </w:r>
    </w:p>
    <w:p>
      <w:pPr>
        <w:pStyle w:val="ListNumber"/>
        <w:spacing w:after="40"/>
      </w:pPr>
      <w:r>
        <w:rPr>
          <w:sz w:val="20"/>
        </w:rPr>
        <w:t>Baubeginn: [ ] (spaetestens vor Ablauf der Baubewilligung ~ Q2/2027); Fertigstellung: [ ].</w:t>
      </w:r>
    </w:p>
    <w:p>
      <w:pPr>
        <w:pStyle w:val="ListNumber"/>
        <w:spacing w:after="40"/>
      </w:pPr>
      <w:r>
        <w:rPr>
          <w:sz w:val="20"/>
        </w:rPr>
        <w:t>Zwischentermine gemaess Bauzeitplan; Poenale bei Verzug: [ ] EUR bzw. [ ] % pro [Woche], gedeckelt mit [ ] %.</w:t>
      </w:r>
    </w:p>
    <w:p>
      <w:pPr>
        <w:pStyle w:val="Heading1"/>
      </w:pPr>
      <w:r>
        <w:t>§ 6  Verguetung</w:t>
      </w:r>
    </w:p>
    <w:p>
      <w:pPr>
        <w:pStyle w:val="ListNumber"/>
        <w:spacing w:after="40"/>
      </w:pPr>
      <w:r>
        <w:rPr>
          <w:sz w:val="20"/>
        </w:rPr>
        <w:t>Pauschalpreis / Einheitspreise gemaess Angebot vom [ ] in Hoehe von EUR [ ] netto zzgl. USt.</w:t>
      </w:r>
    </w:p>
    <w:p>
      <w:pPr>
        <w:pStyle w:val="ListNumber"/>
        <w:spacing w:after="40"/>
      </w:pPr>
      <w:r>
        <w:rPr>
          <w:sz w:val="20"/>
        </w:rPr>
        <w:t>Teilrechnungen nach Baufortschritt; Deckungs-/Haftruecklass [5-10] %; Skonto [ ] %; Zahlungsziel [ ] Tage.</w:t>
      </w:r>
    </w:p>
    <w:p>
      <w:pPr>
        <w:pStyle w:val="Heading1"/>
      </w:pPr>
      <w:r>
        <w:t>§ 7  Pflichten des AN</w:t>
      </w:r>
    </w:p>
    <w:p>
      <w:pPr>
        <w:pStyle w:val="ListNumber"/>
        <w:spacing w:after="40"/>
      </w:pPr>
      <w:r>
        <w:rPr>
          <w:sz w:val="20"/>
        </w:rPr>
        <w:t>Einhaltung von LSD-BG (Lohn- und Sozialdumping), BUAK, Sozialversicherung; Vorlage der Subunternehmerliste zur Genehmigung.</w:t>
      </w:r>
    </w:p>
    <w:p>
      <w:pPr>
        <w:pStyle w:val="ListNumber"/>
        <w:spacing w:after="40"/>
      </w:pPr>
      <w:r>
        <w:rPr>
          <w:sz w:val="20"/>
        </w:rPr>
        <w:t>Baustellensicherheit, Absperrungen, Sauberkeit; Beachtung des SiGe-Plans des Koordinators.</w:t>
      </w:r>
    </w:p>
    <w:p>
      <w:pPr>
        <w:pStyle w:val="ListNumber"/>
        <w:spacing w:after="40"/>
      </w:pPr>
      <w:r>
        <w:rPr>
          <w:sz w:val="20"/>
        </w:rPr>
        <w:t>Verwendung von Materialien mit CE/DoP und den im Konsens geforderten Klassen (REI, A2 etc.).</w:t>
      </w:r>
    </w:p>
    <w:p>
      <w:pPr>
        <w:pStyle w:val="ListNumber"/>
        <w:spacing w:after="40"/>
      </w:pPr>
      <w:r>
        <w:rPr>
          <w:sz w:val="20"/>
        </w:rPr>
        <w:t>Bautagesberichte, Dokumentation der verdeckten Leistungen (Fotos), Aufmass und Abrechnung.</w:t>
      </w:r>
    </w:p>
    <w:p>
      <w:pPr>
        <w:pStyle w:val="Heading1"/>
      </w:pPr>
      <w:r>
        <w:t>§  Haftung und Versicherung</w:t>
      </w:r>
    </w:p>
    <w:p>
      <w:pPr>
        <w:pStyle w:val="ListNumber"/>
        <w:spacing w:after="40"/>
      </w:pPr>
      <w:r>
        <w:rPr>
          <w:sz w:val="20"/>
        </w:rPr>
        <w:t>Der AN haftet nach den gesetzlichen Bestimmungen fuer die von ihm verursachten Schaeden.</w:t>
      </w:r>
    </w:p>
    <w:p>
      <w:pPr>
        <w:pStyle w:val="ListNumber"/>
        <w:spacing w:after="40"/>
      </w:pPr>
      <w:r>
        <w:rPr>
          <w:sz w:val="20"/>
        </w:rPr>
        <w:t>Der AN haelt eine Berufs-/Betriebshaftpflichtversicherung mit einer Deckungssumme von mindestens EUR [ ] aufrecht und weist diese auf Verlangen nach.</w:t>
      </w:r>
    </w:p>
    <w:p>
      <w:pPr>
        <w:pStyle w:val="Heading1"/>
      </w:pPr>
      <w:r>
        <w:t>§  Gewaehrleistung / Haftruecklass</w:t>
      </w:r>
    </w:p>
    <w:p>
      <w:pPr>
        <w:pStyle w:val="ListNumber"/>
        <w:spacing w:after="40"/>
      </w:pPr>
      <w:r>
        <w:rPr>
          <w:sz w:val="20"/>
        </w:rPr>
        <w:t>Es gelten die gesetzlichen Gewaehrleistungsfristen; fuer Bauleistungen [3 Jahre / vereinbart].</w:t>
      </w:r>
    </w:p>
    <w:p>
      <w:pPr>
        <w:pStyle w:val="ListNumber"/>
        <w:spacing w:after="40"/>
      </w:pPr>
      <w:r>
        <w:rPr>
          <w:sz w:val="20"/>
        </w:rPr>
        <w:t>Der AG behaelt einen Haftruecklass von [5-10] % der Schlussrechnungssumme fuer die Dauer der Gewaehrleistung ein; ersetzbar durch eine abstrakte Bankgarantie.</w:t>
      </w:r>
    </w:p>
    <w:p>
      <w:pPr>
        <w:pStyle w:val="Heading1"/>
      </w:pPr>
      <w:r>
        <w:t>§  Kuendigung</w:t>
      </w:r>
    </w:p>
    <w:p>
      <w:pPr>
        <w:pStyle w:val="ListNumber"/>
        <w:spacing w:after="40"/>
      </w:pPr>
      <w:r>
        <w:rPr>
          <w:sz w:val="20"/>
        </w:rPr>
        <w:t>Der Vertrag kann von beiden Teilen aus wichtigem Grund mit sofortiger Wirkung aufgeloest werden.</w:t>
      </w:r>
    </w:p>
    <w:p>
      <w:pPr>
        <w:pStyle w:val="ListNumber"/>
        <w:spacing w:after="40"/>
      </w:pPr>
      <w:r>
        <w:rPr>
          <w:sz w:val="20"/>
        </w:rPr>
        <w:t>Bei Kuendigung wird die bis dahin vertragskonform erbrachte Leistung abgerechnet.</w:t>
      </w:r>
    </w:p>
    <w:p>
      <w:pPr>
        <w:pStyle w:val="Heading1"/>
      </w:pPr>
      <w:r>
        <w:t>§  Schlussbestimmungen</w:t>
      </w:r>
    </w:p>
    <w:p>
      <w:pPr>
        <w:pStyle w:val="ListNumber"/>
        <w:spacing w:after="40"/>
      </w:pPr>
      <w:r>
        <w:rPr>
          <w:sz w:val="20"/>
        </w:rPr>
        <w:t>Aenderungen und Ergaenzungen beduerfen der Schriftform.</w:t>
      </w:r>
    </w:p>
    <w:p>
      <w:pPr>
        <w:pStyle w:val="ListNumber"/>
        <w:spacing w:after="40"/>
      </w:pPr>
      <w:r>
        <w:rPr>
          <w:sz w:val="20"/>
        </w:rPr>
        <w:t>Es gilt oesterreichisches Recht; Gerichtsstand ist das sachlich zustaendige Gericht in Wien.</w:t>
      </w:r>
    </w:p>
    <w:p>
      <w:pPr>
        <w:pStyle w:val="ListNumber"/>
        <w:spacing w:after="40"/>
      </w:pPr>
      <w:r>
        <w:rPr>
          <w:sz w:val="20"/>
        </w:rPr>
        <w:t>Sollte eine Bestimmung unwirksam sein, bleibt der uebrige Vertrag wirksam (salvatorische Klausel).</w:t>
      </w:r>
    </w:p>
    <w:p>
      <w:pPr>
        <w:pStyle w:val="ListNumber"/>
        <w:spacing w:after="40"/>
      </w:pPr>
      <w:r>
        <w:rPr>
          <w:sz w:val="20"/>
        </w:rPr>
        <w:t>Datenschutz: Die Verarbeitung personenbezogener Daten erfolgt gemaess DSGVO ausschliesslich zur Vertragsabwicklung.</w:t>
      </w:r>
    </w:p>
    <w:p/>
    <w:p>
      <w:pPr>
        <w:spacing w:after="360"/>
      </w:pPr>
      <w:r>
        <w:rPr>
          <w:b w:val="0"/>
          <w:i w:val="0"/>
          <w:sz w:val="20"/>
        </w:rPr>
        <w:t xml:space="preserve">Wien, am [ ]                                                   </w:t>
      </w:r>
    </w:p>
    <w:p>
      <w:pPr>
        <w:spacing w:after="100"/>
      </w:pPr>
      <w:r>
        <w:rPr>
          <w:b w:val="0"/>
          <w:i w:val="0"/>
          <w:sz w:val="20"/>
        </w:rPr>
        <w:t>_____________________________                _____________________________</w:t>
      </w:r>
    </w:p>
    <w:p>
      <w:pPr>
        <w:spacing w:after="100"/>
      </w:pPr>
      <w:r>
        <w:rPr>
          <w:b w:val="0"/>
          <w:i w:val="0"/>
          <w:sz w:val="20"/>
        </w:rPr>
        <w:t>Auftraggeber (A&amp;C Wohnart)                        Auftragnehmer</w:t>
      </w:r>
    </w:p>
    <w:p/>
    <w:p>
      <w:pPr>
        <w:spacing w:after="100"/>
      </w:pPr>
      <w:r>
        <w:rPr>
          <w:b w:val="0"/>
          <w:i w:val="0"/>
          <w:color w:val="555555"/>
          <w:sz w:val="18"/>
        </w:rPr>
        <w:t>Beilagen: Leistungsbild / Aufgabenbeschreibung; Baubescheid; Plaene.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