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32"/>
        </w:rPr>
        <w:t>FISA DE POST - EXECUTANT (BAULEITUNG + AUSFUEHRUNG)</w:t>
      </w:r>
    </w:p>
    <w:p>
      <w:pPr>
        <w:jc w:val="center"/>
      </w:pPr>
      <w:r>
        <w:rPr>
          <w:color w:val="555555"/>
          <w:sz w:val="21"/>
        </w:rPr>
        <w:t>Proiect Schallergasse 35, 1120 Wien (KG 01305 Meidling, EZ 2235, GST .1241) | temei: § 124 BO Wien (Bauführer) + Gewerbeordnung</w:t>
      </w:r>
    </w:p>
    <w:p/>
    <w:p>
      <w:pPr>
        <w:pStyle w:val="Heading1"/>
      </w:pPr>
      <w:r>
        <w:t>1. Rolul pe scurt</w:t>
      </w:r>
    </w:p>
    <w:p>
      <w:pPr>
        <w:spacing w:after="100"/>
      </w:pPr>
      <w:r>
        <w:rPr>
          <w:b w:val="0"/>
          <w:i w:val="0"/>
          <w:sz w:val="20"/>
        </w:rPr>
        <w:t>Firma (de regula antreprenor general / Baumeister) care EXECUTA lucrarile si asigura Bauführer-ul (conducatorul responsabil fata de Baupolizei). Bauführer-ul este obligatoriu prin lege (§124 BO) si de regula il aduce executantul - de aceea il tratam impreuna cu executia.</w:t>
      </w:r>
    </w:p>
    <w:p>
      <w:pPr>
        <w:pStyle w:val="Heading1"/>
      </w:pPr>
      <w:r>
        <w:t>2. Cine poate fi / conditii</w:t>
      </w:r>
    </w:p>
    <w:p>
      <w:pPr>
        <w:pStyle w:val="ListBullet"/>
        <w:spacing w:after="40"/>
      </w:pPr>
      <w:r>
        <w:rPr>
          <w:sz w:val="20"/>
        </w:rPr>
        <w:t>Firma cu Gewerbeberechtigung pe meseriile relevante (Baumeister pentru structura; instalator gaz/apa-canal; electrician atestat; constructii metalice; lift - firma specializata cu receptii TÜV).</w:t>
      </w:r>
    </w:p>
    <w:p>
      <w:pPr>
        <w:pStyle w:val="ListBullet"/>
        <w:spacing w:after="40"/>
      </w:pPr>
      <w:r>
        <w:rPr>
          <w:sz w:val="20"/>
        </w:rPr>
        <w:t>Bauführer: Baumeister/ZT autorizat; daca este persoana juridica desemneaza un 'baurechtlicher Geschaeftsführer' (§124 Abs. 1a).</w:t>
      </w:r>
    </w:p>
    <w:p>
      <w:pPr>
        <w:pStyle w:val="ListBullet"/>
        <w:spacing w:after="40"/>
      </w:pPr>
      <w:r>
        <w:rPr>
          <w:sz w:val="20"/>
        </w:rPr>
        <w:t>Muncitori declarati (BUAK, asigurari sociale), respectarea LSD-BG (salariu minim sectorial), asigurare RC de min. cateva milioane EUR, referinte pe Altbau vienez, bonitate (KSV).</w:t>
      </w:r>
    </w:p>
    <w:p>
      <w:pPr>
        <w:pStyle w:val="Heading1"/>
      </w:pPr>
      <w:r>
        <w:t>3. Ce face (responsabilitati)</w:t>
      </w:r>
    </w:p>
    <w:p>
      <w:pPr>
        <w:pStyle w:val="ListNumber"/>
        <w:spacing w:after="60"/>
      </w:pPr>
      <w:r>
        <w:rPr>
          <w:sz w:val="20"/>
        </w:rPr>
        <w:t>Depune Baubeginnsanzeige (anuntul de incepere) cu min. 3 zile inainte, prin Baustellendatenbank (buak.at); monteaza panoul de santier.</w:t>
      </w:r>
    </w:p>
    <w:p>
      <w:pPr>
        <w:pStyle w:val="ListNumber"/>
        <w:spacing w:after="60"/>
      </w:pPr>
      <w:r>
        <w:rPr>
          <w:sz w:val="20"/>
        </w:rPr>
        <w:t>Executa conform planurilor autorizate, staticii si normelor; raspunde de calitatea materialelor si a executiei fata de Baupolizei.</w:t>
      </w:r>
    </w:p>
    <w:p>
      <w:pPr>
        <w:pStyle w:val="ListNumber"/>
        <w:spacing w:after="60"/>
      </w:pPr>
      <w:r>
        <w:rPr>
          <w:sz w:val="20"/>
        </w:rPr>
        <w:t>Tine pe santier planurile aprobate + statica actualizata + procesele-verbale.</w:t>
      </w:r>
    </w:p>
    <w:p>
      <w:pPr>
        <w:pStyle w:val="ListNumber"/>
        <w:spacing w:after="60"/>
      </w:pPr>
      <w:r>
        <w:rPr>
          <w:sz w:val="20"/>
        </w:rPr>
        <w:t>Coordoneaza subantreprenorii pe meserii; asigura masurile de siguranta si imprejmuirile.</w:t>
      </w:r>
    </w:p>
    <w:p>
      <w:pPr>
        <w:pStyle w:val="ListNumber"/>
        <w:spacing w:after="60"/>
      </w:pPr>
      <w:r>
        <w:rPr>
          <w:sz w:val="20"/>
        </w:rPr>
        <w:t>Colaboreaza cu Verificatorul (Prüfingenieur) si Coordonatorul BauKG; anunta fazele pentru verificari (fundare, armatura).</w:t>
      </w:r>
    </w:p>
    <w:p>
      <w:pPr>
        <w:pStyle w:val="ListNumber"/>
        <w:spacing w:after="60"/>
      </w:pPr>
      <w:r>
        <w:rPr>
          <w:sz w:val="20"/>
        </w:rPr>
        <w:t>La final: preda lucrarea, strange certificatele/probele (cosuri Hauptbefund, apa potabila, desfumare, lift TÜV) pentru Fertigstellungsanzeige.</w:t>
      </w:r>
    </w:p>
    <w:p>
      <w:pPr>
        <w:pStyle w:val="Heading1"/>
      </w:pPr>
      <w:r>
        <w:t>4. Ce livreaza</w:t>
      </w:r>
    </w:p>
    <w:p>
      <w:pPr>
        <w:pStyle w:val="ListBullet"/>
        <w:spacing w:after="40"/>
      </w:pPr>
      <w:r>
        <w:rPr>
          <w:sz w:val="20"/>
        </w:rPr>
        <w:t>Baubeginnsanzeige + panou de santier.</w:t>
      </w:r>
    </w:p>
    <w:p>
      <w:pPr>
        <w:pStyle w:val="ListBullet"/>
        <w:spacing w:after="40"/>
      </w:pPr>
      <w:r>
        <w:rPr>
          <w:sz w:val="20"/>
        </w:rPr>
        <w:t>Grafic de executie (Bauzeitplan) - vezi lista de etape atasata.</w:t>
      </w:r>
    </w:p>
    <w:p>
      <w:pPr>
        <w:pStyle w:val="ListBullet"/>
        <w:spacing w:after="40"/>
      </w:pPr>
      <w:r>
        <w:rPr>
          <w:sz w:val="20"/>
        </w:rPr>
        <w:t>Situatii de lucrari + documentatia de calitate (certificate materiale/DoP).</w:t>
      </w:r>
    </w:p>
    <w:p>
      <w:pPr>
        <w:pStyle w:val="ListBullet"/>
        <w:spacing w:after="40"/>
      </w:pPr>
      <w:r>
        <w:rPr>
          <w:sz w:val="20"/>
        </w:rPr>
        <w:t>Protocoale de proba (presiune instalatii, etanseitate) si receptii pe faze.</w:t>
      </w:r>
    </w:p>
    <w:p>
      <w:pPr>
        <w:pStyle w:val="ListBullet"/>
        <w:spacing w:after="40"/>
      </w:pPr>
      <w:r>
        <w:rPr>
          <w:sz w:val="20"/>
        </w:rPr>
        <w:t>Documentatia pentru receptia finala.</w:t>
      </w:r>
    </w:p>
    <w:p>
      <w:pPr>
        <w:pStyle w:val="Heading1"/>
      </w:pPr>
      <w:r>
        <w:t>5. Ce cerem in contract</w:t>
      </w:r>
    </w:p>
    <w:p>
      <w:pPr>
        <w:pStyle w:val="ListBullet"/>
        <w:spacing w:after="40"/>
      </w:pPr>
      <w:r>
        <w:rPr>
          <w:sz w:val="20"/>
        </w:rPr>
        <w:t>Numele si autorizatia Bauführer-ului desemnat.</w:t>
      </w:r>
    </w:p>
    <w:p>
      <w:pPr>
        <w:pStyle w:val="ListBullet"/>
        <w:spacing w:after="40"/>
      </w:pPr>
      <w:r>
        <w:rPr>
          <w:sz w:val="20"/>
        </w:rPr>
        <w:t>Grafic de executie anexat (pe etapele din fisierul 'Etape_Executie_pe_Obiecte_Ordine').</w:t>
      </w:r>
    </w:p>
    <w:p>
      <w:pPr>
        <w:pStyle w:val="ListBullet"/>
        <w:spacing w:after="40"/>
      </w:pPr>
      <w:r>
        <w:rPr>
          <w:sz w:val="20"/>
        </w:rPr>
        <w:t>Garantii de buna executie (Haftrücklass/Deckungsrücklass uzual 5-10 %), penalitati de intarziere.</w:t>
      </w:r>
    </w:p>
    <w:p>
      <w:pPr>
        <w:pStyle w:val="ListBullet"/>
        <w:spacing w:after="40"/>
      </w:pPr>
      <w:r>
        <w:rPr>
          <w:sz w:val="20"/>
        </w:rPr>
        <w:t>Asigurare de constructie (Bauwesenversicherung) + RC.</w:t>
      </w:r>
    </w:p>
    <w:p>
      <w:pPr>
        <w:pStyle w:val="ListBullet"/>
        <w:spacing w:after="40"/>
      </w:pPr>
      <w:r>
        <w:rPr>
          <w:sz w:val="20"/>
        </w:rPr>
        <w:t>Respectarea LSD-BG si BUAK; lista subantreprenorilor.</w:t>
      </w:r>
    </w:p>
    <w:p>
      <w:pPr>
        <w:spacing w:after="100"/>
      </w:pPr>
      <w:r>
        <w:rPr>
          <w:b w:val="0"/>
          <w:i/>
          <w:color w:val="555555"/>
          <w:sz w:val="18"/>
        </w:rPr>
        <w:t>Nota: pastram conceptul de incalzire APROBAT (pompe de caldura + incalzire in pardoseala la mansarda) - vezi nota de clarificare incalzire; pompele de caldura cer dosar separat § 61 BO.</w:t>
      </w:r>
    </w:p>
    <w:sectPr w:rsidR="00FC693F" w:rsidRPr="0006063C" w:rsidSect="00034616">
      <w:pgSz w:w="12240" w:h="15840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