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30"/>
        </w:rPr>
        <w:t>FISA DE POST - PRUFINGENIEUR (inginer verificator)</w:t>
      </w:r>
    </w:p>
    <w:p>
      <w:pPr>
        <w:spacing w:after="160"/>
      </w:pPr>
      <w:r>
        <w:rPr>
          <w:b w:val="0"/>
          <w:i/>
          <w:color w:val="595959"/>
          <w:sz w:val="18"/>
        </w:rPr>
        <w:t>Proiect Schallergasse 35, 1120 Wien | temei legal: § 127 Bauordnung fuer Wien | 05.08.2026</w:t>
      </w:r>
    </w:p>
    <w:p>
      <w:pPr>
        <w:pStyle w:val="Heading1"/>
      </w:pPr>
      <w:r>
        <w:t>Cine este / ce calificare</w:t>
      </w:r>
    </w:p>
    <w:p>
      <w:pPr>
        <w:spacing w:after="80"/>
      </w:pPr>
      <w:r>
        <w:rPr>
          <w:b w:val="0"/>
          <w:i w:val="0"/>
          <w:sz w:val="19"/>
        </w:rPr>
        <w:t>Un profesionist AUTORIZAT si INDEPENDENT care verifica, pe tot parcursul santierului, ca executia respecta planurile autorizate si atinge fiabilitatea structurala ceruta, si care semnaleaza imediat autoritatii (MA 37) orice abatere de la consens.</w:t>
      </w:r>
    </w:p>
    <w:p>
      <w:pPr>
        <w:spacing w:after="60"/>
      </w:pPr>
      <w:r>
        <w:rPr>
          <w:b/>
          <w:sz w:val="19"/>
        </w:rPr>
        <w:t xml:space="preserve">Poate fi: </w:t>
      </w:r>
      <w:r>
        <w:rPr>
          <w:sz w:val="19"/>
        </w:rPr>
        <w:t>Ziviltechniker (inginer civil cu autorizatie de stat si stampila) SAU expert judiciar (gerichtlich beeideter Sachverstaendiger) pentru domeniul structuri/constructii. Citat oficial: "Pruefingenieur*innen sind Ziviltechniker*innen oder gerichtlich beeidete Sachverstaendige fuer das einschlaegige Fachgebiet."</w:t>
      </w:r>
    </w:p>
    <w:p>
      <w:pPr>
        <w:spacing w:after="60"/>
      </w:pPr>
      <w:r>
        <w:rPr>
          <w:b/>
          <w:sz w:val="19"/>
        </w:rPr>
        <w:t xml:space="preserve">Conditia de INDEPENDENTA (obligatorie): </w:t>
      </w:r>
      <w:r>
        <w:rPr>
          <w:sz w:val="19"/>
        </w:rPr>
        <w:t>NU poate fi aceeasi persoana cu beneficiarul (Bauwerber) sau cu conducatorul de lucrare (Bauführer) si NU poate avea raport de serviciu sau de organ (Dienst- oder Organschaftsverhaeltnis) cu acestia. Practic: NU se ia "la pachet" de la antreprenorul general sau de la firma care asigura Bauführer-ul.</w:t>
      </w:r>
    </w:p>
    <w:p>
      <w:pPr>
        <w:pStyle w:val="Heading1"/>
      </w:pPr>
      <w:r>
        <w:t>Responsabilitati principale (rezumat Leistungsbild + § 127 BO)</w:t>
      </w:r>
    </w:p>
    <w:p>
      <w:pPr>
        <w:pStyle w:val="ListBullet"/>
        <w:spacing w:after="40"/>
      </w:pPr>
      <w:r>
        <w:rPr>
          <w:b/>
          <w:sz w:val="19"/>
        </w:rPr>
        <w:t xml:space="preserve">1. </w:t>
      </w:r>
      <w:r>
        <w:rPr>
          <w:sz w:val="19"/>
        </w:rPr>
        <w:t>INAINTE de inceperea lucrarilor: verifica planurile autorizate si Baubewilligung-ul fata de situatia reala din teren (limite, aliniamente, cote, inaltimi, cai de evacuare, releveul existent); daca expertizele de la baza consensului sunt mai vechi de 2 ani, face cel putin o verificare vizuala.</w:t>
      </w:r>
    </w:p>
    <w:p>
      <w:pPr>
        <w:pStyle w:val="ListBullet"/>
        <w:spacing w:after="40"/>
      </w:pPr>
      <w:r>
        <w:rPr>
          <w:b/>
          <w:sz w:val="19"/>
        </w:rPr>
        <w:t xml:space="preserve">2. </w:t>
      </w:r>
      <w:r>
        <w:rPr>
          <w:sz w:val="19"/>
        </w:rPr>
        <w:t>La consolidarea gropii de fundare / fundatii: participa la receptia terenului de fundare si a sprijinirilor (impreuna cu Bauführer-ul).</w:t>
      </w:r>
    </w:p>
    <w:p>
      <w:pPr>
        <w:pStyle w:val="ListBullet"/>
        <w:spacing w:after="40"/>
      </w:pPr>
      <w:r>
        <w:rPr>
          <w:b/>
          <w:sz w:val="19"/>
        </w:rPr>
        <w:t xml:space="preserve">3. </w:t>
      </w:r>
      <w:r>
        <w:rPr>
          <w:sz w:val="19"/>
        </w:rPr>
        <w:t>PANA la finalizarea structurii (rosu): dispune si supravegheaza verificarile de fundare, armatura, grinzi, stalpi, imbinari sudate + verifica geometria (§ 127 Abs. 3 lit. a-b).</w:t>
      </w:r>
    </w:p>
    <w:p>
      <w:pPr>
        <w:pStyle w:val="ListBullet"/>
        <w:spacing w:after="40"/>
      </w:pPr>
      <w:r>
        <w:rPr>
          <w:b/>
          <w:sz w:val="19"/>
        </w:rPr>
        <w:t xml:space="preserve">4. </w:t>
      </w:r>
      <w:r>
        <w:rPr>
          <w:sz w:val="19"/>
        </w:rPr>
        <w:t>DUPA receptia structurii pana la finalizare: verifica elementele de finisaj relevante pentru consens si geometria (§ 127 Abs. 3 lit. c).</w:t>
      </w:r>
    </w:p>
    <w:p>
      <w:pPr>
        <w:pStyle w:val="ListBullet"/>
        <w:spacing w:after="40"/>
      </w:pPr>
      <w:r>
        <w:rPr>
          <w:b/>
          <w:sz w:val="19"/>
        </w:rPr>
        <w:t xml:space="preserve">5. </w:t>
      </w:r>
      <w:r>
        <w:rPr>
          <w:sz w:val="19"/>
        </w:rPr>
        <w:t>Verifica pozitia si cotele constructiei fata de planul aprobat si ANUNTA IMEDIAT la MA 37 orice abatere de la consens care nu este inlaturata pe loc (§ 125 Abs. 2) - aceasta este obligatia lui centrala si de ea depinde strategia "fara Planwechsel": daca executia urmeaza planurile vizate, nu are ce raporta.</w:t>
      </w:r>
    </w:p>
    <w:p>
      <w:pPr>
        <w:pStyle w:val="ListBullet"/>
        <w:spacing w:after="40"/>
      </w:pPr>
      <w:r>
        <w:rPr>
          <w:b/>
          <w:sz w:val="19"/>
        </w:rPr>
        <w:t xml:space="preserve">6. </w:t>
      </w:r>
      <w:r>
        <w:rPr>
          <w:sz w:val="19"/>
        </w:rPr>
        <w:t>Documenteaza conceptul, amploarea si rezultatele verificarilor (dovada in caz de litigiu).</w:t>
      </w:r>
    </w:p>
    <w:p>
      <w:pPr>
        <w:pStyle w:val="ListBullet"/>
        <w:spacing w:after="40"/>
      </w:pPr>
      <w:r>
        <w:rPr>
          <w:b/>
          <w:sz w:val="19"/>
        </w:rPr>
        <w:t xml:space="preserve">7. </w:t>
      </w:r>
      <w:r>
        <w:rPr>
          <w:sz w:val="19"/>
        </w:rPr>
        <w:t>La final: intocmeste procesele-verbale pentru Fertigstellungsanzeige; daca este Ziviltechniker, poate emite chiar confirmarea § 128 Abs. 2 (executie conforma) - varianta cu cea mai clara raspundere.</w:t>
      </w:r>
    </w:p>
    <w:p>
      <w:pPr>
        <w:spacing w:after="80"/>
      </w:pPr>
      <w:r>
        <w:rPr>
          <w:b w:val="0"/>
          <w:i/>
          <w:color w:val="595959"/>
          <w:sz w:val="18"/>
        </w:rPr>
        <w:t>Limite: NU inlocuieste dirigentia de santier (oertliche Bauaufsicht / ÖBA), NU preia proiectarea si NU face managementul de proiect al beneficiarului. Poate folosi expertize-ajutor (Hilfsgutachten), dar raspunderea si obligatia de raportare raman la el.</w:t>
      </w:r>
    </w:p>
    <w:p>
      <w:pPr>
        <w:pStyle w:val="Heading1"/>
      </w:pPr>
      <w:r>
        <w:t>Cum se contracteaza (pasii concreti)</w:t>
      </w:r>
    </w:p>
    <w:p>
      <w:pPr>
        <w:pStyle w:val="ListBullet"/>
        <w:spacing w:after="40"/>
      </w:pPr>
      <w:r>
        <w:rPr>
          <w:b/>
          <w:sz w:val="19"/>
        </w:rPr>
        <w:t xml:space="preserve">a) </w:t>
      </w:r>
      <w:r>
        <w:rPr>
          <w:sz w:val="19"/>
        </w:rPr>
        <w:t>Beneficiarul (Bauherr) il alege si il contracteaza direct, ca expert privat, PE COSTUL beneficiarului ("als Privatgutachter im Auftrag und auf Kosten des Bauwerbers").</w:t>
      </w:r>
    </w:p>
    <w:p>
      <w:pPr>
        <w:pStyle w:val="ListBullet"/>
        <w:spacing w:after="40"/>
      </w:pPr>
      <w:r>
        <w:rPr>
          <w:b/>
          <w:sz w:val="19"/>
        </w:rPr>
        <w:t xml:space="preserve">b) </w:t>
      </w:r>
      <w:r>
        <w:rPr>
          <w:sz w:val="19"/>
        </w:rPr>
        <w:t>Se verifica independenta fata de Bauführer si de firma executanta INAINTE de a semna.</w:t>
      </w:r>
    </w:p>
    <w:p>
      <w:pPr>
        <w:pStyle w:val="ListBullet"/>
        <w:spacing w:after="40"/>
      </w:pPr>
      <w:r>
        <w:rPr>
          <w:b/>
          <w:sz w:val="19"/>
        </w:rPr>
        <w:t xml:space="preserve">c) </w:t>
      </w:r>
      <w:r>
        <w:rPr>
          <w:sz w:val="19"/>
        </w:rPr>
        <w:t>Se anunta in SCRIS la MA 37 (formular "Bekanntgabe Pruefingenieur"), INAINTE de inceperea lucrarilor, iar el CONTRASEMNEAZA anuntul.</w:t>
      </w:r>
    </w:p>
    <w:p>
      <w:pPr>
        <w:pStyle w:val="ListBullet"/>
        <w:spacing w:after="40"/>
      </w:pPr>
      <w:r>
        <w:rPr>
          <w:b/>
          <w:sz w:val="19"/>
        </w:rPr>
        <w:t xml:space="preserve">d) </w:t>
      </w:r>
      <w:r>
        <w:rPr>
          <w:sz w:val="19"/>
        </w:rPr>
        <w:t>Se recomanda o intelegere scrisa Pruefingenieur - Bauführer privind fluxul de informatii (cine il anunta si cand), pentru ca el sa isi poata indeplini obligatia de raportare ("Kontrollsystem").</w:t>
      </w:r>
    </w:p>
    <w:p>
      <w:pPr>
        <w:pStyle w:val="ListBullet"/>
        <w:spacing w:after="40"/>
      </w:pPr>
      <w:r>
        <w:rPr>
          <w:b/>
          <w:sz w:val="19"/>
        </w:rPr>
        <w:t xml:space="preserve">e) </w:t>
      </w:r>
      <w:r>
        <w:rPr>
          <w:sz w:val="19"/>
        </w:rPr>
        <w:t>Orice SCHIMBARE ulterioara de Pruefingenieur se anunta imediat la MA 37.</w:t>
      </w:r>
    </w:p>
    <w:p>
      <w:pPr>
        <w:pStyle w:val="Heading1"/>
      </w:pPr>
      <w:r>
        <w:t>Cat costa (orientativ - de confirmat prin oferte)</w:t>
      </w:r>
    </w:p>
    <w:p>
      <w:pPr>
        <w:spacing w:after="80"/>
      </w:pPr>
      <w:r>
        <w:rPr>
          <w:b w:val="0"/>
          <w:i w:val="0"/>
          <w:sz w:val="19"/>
        </w:rPr>
        <w:t>NU exista tarif oficial: Camera inginerilor precizeaza ca "Honorarul activitatilor de verificare depinde de MARIMEA si COMPLEXITATEA lucrarii" (baremele obligatorii au fost desfiintate; onorariile se negociaza liber). Costul creste cu: numarul de inspectii pe santier, complexitatea structurii (aici: placa compozita peste et.3, structura metalica mansarda, injectari zidarie, groapa lift) si cu preluarea sau nu a confirmarii finale § 128.</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val="clear" w:fill="1F3864"/>
          </w:tcPr>
          <w:p>
            <w:r/>
            <w:r>
              <w:rPr>
                <w:rFonts w:ascii="Arial" w:hAnsi="Arial"/>
                <w:b/>
                <w:color w:val="FFFFFF"/>
                <w:sz w:val="18"/>
              </w:rPr>
              <w:t>Model de tarifare</w:t>
            </w:r>
          </w:p>
        </w:tc>
        <w:tc>
          <w:tcPr>
            <w:tcW w:type="dxa" w:w="4252"/>
            <w:shd w:val="clear" w:fill="1F3864"/>
          </w:tcPr>
          <w:p>
            <w:r/>
            <w:r>
              <w:rPr>
                <w:rFonts w:ascii="Arial" w:hAnsi="Arial"/>
                <w:b/>
                <w:color w:val="FFFFFF"/>
                <w:sz w:val="18"/>
              </w:rPr>
              <w:t>Cum se calculeaza</w:t>
            </w:r>
          </w:p>
        </w:tc>
        <w:tc>
          <w:tcPr>
            <w:tcW w:type="dxa" w:w="3118"/>
            <w:shd w:val="clear" w:fill="1F3864"/>
          </w:tcPr>
          <w:p>
            <w:r/>
            <w:r>
              <w:rPr>
                <w:rFonts w:ascii="Arial" w:hAnsi="Arial"/>
                <w:b/>
                <w:color w:val="FFFFFF"/>
                <w:sz w:val="18"/>
              </w:rPr>
              <w:t>Ordin de marime orientativ*</w:t>
            </w:r>
          </w:p>
        </w:tc>
      </w:tr>
      <w:tr>
        <w:tc>
          <w:tcPr>
            <w:tcW w:type="dxa" w:w="2381"/>
          </w:tcPr>
          <w:p>
            <w:r/>
            <w:r>
              <w:rPr>
                <w:rFonts w:ascii="Arial" w:hAnsi="Arial"/>
                <w:sz w:val="18"/>
              </w:rPr>
              <w:t>Forfetar pe proiect</w:t>
            </w:r>
          </w:p>
        </w:tc>
        <w:tc>
          <w:tcPr>
            <w:tcW w:type="dxa" w:w="4252"/>
          </w:tcPr>
          <w:p>
            <w:r/>
            <w:r>
              <w:rPr>
                <w:rFonts w:ascii="Arial" w:hAnsi="Arial"/>
                <w:sz w:val="18"/>
              </w:rPr>
              <w:t>Suma fixa pentru tot pachetul de verificari + confirmarea finala</w:t>
            </w:r>
          </w:p>
        </w:tc>
        <w:tc>
          <w:tcPr>
            <w:tcW w:type="dxa" w:w="3118"/>
          </w:tcPr>
          <w:p>
            <w:r/>
            <w:r>
              <w:rPr>
                <w:rFonts w:ascii="Arial" w:hAnsi="Arial"/>
                <w:sz w:val="18"/>
              </w:rPr>
              <w:t>cca. 8.000 - 20.000 EUR net</w:t>
            </w:r>
          </w:p>
        </w:tc>
      </w:tr>
      <w:tr>
        <w:tc>
          <w:tcPr>
            <w:tcW w:type="dxa" w:w="2381"/>
          </w:tcPr>
          <w:p>
            <w:r/>
            <w:r>
              <w:rPr>
                <w:rFonts w:ascii="Arial" w:hAnsi="Arial"/>
                <w:sz w:val="18"/>
              </w:rPr>
              <w:t>Procent din valoarea structurii</w:t>
            </w:r>
          </w:p>
        </w:tc>
        <w:tc>
          <w:tcPr>
            <w:tcW w:type="dxa" w:w="4252"/>
          </w:tcPr>
          <w:p>
            <w:r/>
            <w:r>
              <w:rPr>
                <w:rFonts w:ascii="Arial" w:hAnsi="Arial"/>
                <w:sz w:val="18"/>
              </w:rPr>
              <w:t>0,3 - 0,8 % din costul lucrarilor de structura</w:t>
            </w:r>
          </w:p>
        </w:tc>
        <w:tc>
          <w:tcPr>
            <w:tcW w:type="dxa" w:w="3118"/>
          </w:tcPr>
          <w:p>
            <w:r/>
            <w:r>
              <w:rPr>
                <w:rFonts w:ascii="Arial" w:hAnsi="Arial"/>
                <w:sz w:val="18"/>
              </w:rPr>
              <w:t>in functie de deviz</w:t>
            </w:r>
          </w:p>
        </w:tc>
      </w:tr>
      <w:tr>
        <w:tc>
          <w:tcPr>
            <w:tcW w:type="dxa" w:w="2381"/>
          </w:tcPr>
          <w:p>
            <w:r/>
            <w:r>
              <w:rPr>
                <w:rFonts w:ascii="Arial" w:hAnsi="Arial"/>
                <w:sz w:val="18"/>
              </w:rPr>
              <w:t>Pe ore / pe vizita</w:t>
            </w:r>
          </w:p>
        </w:tc>
        <w:tc>
          <w:tcPr>
            <w:tcW w:type="dxa" w:w="4252"/>
          </w:tcPr>
          <w:p>
            <w:r/>
            <w:r>
              <w:rPr>
                <w:rFonts w:ascii="Arial" w:hAnsi="Arial"/>
                <w:sz w:val="18"/>
              </w:rPr>
              <w:t>Tarif orar 120 - 180 EUR net + deplasari; ~6-12 inspectii la un astfel de proiect</w:t>
            </w:r>
          </w:p>
        </w:tc>
        <w:tc>
          <w:tcPr>
            <w:tcW w:type="dxa" w:w="3118"/>
          </w:tcPr>
          <w:p>
            <w:r/>
            <w:r>
              <w:rPr>
                <w:rFonts w:ascii="Arial" w:hAnsi="Arial"/>
                <w:sz w:val="18"/>
              </w:rPr>
              <w:t>dupa numarul real de vizite</w:t>
            </w:r>
          </w:p>
        </w:tc>
      </w:tr>
    </w:tbl>
    <w:p>
      <w:pPr>
        <w:spacing w:after="40"/>
      </w:pPr>
    </w:p>
    <w:p>
      <w:pPr>
        <w:spacing w:after="80"/>
      </w:pPr>
      <w:r>
        <w:rPr>
          <w:b w:val="0"/>
          <w:i/>
          <w:color w:val="595959"/>
          <w:sz w:val="17"/>
        </w:rPr>
        <w:t>* Estimare de piata pentru un proiect Altbau cu mansardare la Viena, NEcontractuala. Cereti 2-3 oferte comparabile (Angebote) cu: numarul de inspectii incluse, daca include confirmarea § 128 Abs. 2 si Bauwerksbuch, ce expertize suplimentare NU sunt incluse (geometru, expertiza incendiu). Bugetul de referinta al proiectului la ofertantii de management a fost ~2,8 mil. EUR net (580 mp renovare + 234 mp mansardare).</w:t>
      </w:r>
    </w:p>
    <w:p>
      <w:pPr>
        <w:pStyle w:val="Heading1"/>
      </w:pPr>
      <w:r>
        <w:t>De ce este obligatoriu aici</w:t>
      </w:r>
    </w:p>
    <w:p>
      <w:pPr>
        <w:spacing w:after="80"/>
      </w:pPr>
      <w:r>
        <w:rPr>
          <w:b w:val="0"/>
          <w:i w:val="0"/>
          <w:sz w:val="19"/>
        </w:rPr>
        <w:t>Autorizatia impune expres Pruefingenieur: "Vor Baubeginn ist ein Pruefingenieur ... schriftlich anzuzeigen" (Bescheid MA 37/1539234-2021-1, conditiile 2-3 si 6). Proiectul are consolidari structurale majore (placa de fundare, planseu compozit peste etajul 3, injectari zidarie, structura metalica de mansarda) - exact categoria pentru care legea cere verificare independenta a fiabilitatii structurii.</w:t>
      </w:r>
    </w:p>
    <w:p>
      <w:pPr>
        <w:spacing w:after="80"/>
      </w:pPr>
      <w:r>
        <w:rPr>
          <w:b w:val="0"/>
          <w:i/>
          <w:color w:val="7F7F7F"/>
          <w:sz w:val="16"/>
        </w:rPr>
        <w:t>Surse: § 127 BO Wien; MA 37 - Baupolizei, pagina oficiala "Pruefingenieur" (wien.gv.at); "Erlaeuterung des Leistungsbildes des Pruefingenieurs gemaess BO", Kammer der Ziviltechniker WNB, versiunea 28.05.2020. Costurile sunt estimari de piata, de confirmat prin oferte.</w:t>
      </w:r>
    </w:p>
    <w:sectPr w:rsidR="00FC693F" w:rsidRPr="0006063C" w:rsidSect="00034616">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