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2BAA" w14:textId="77777777" w:rsidR="004D7AB8" w:rsidRDefault="00000000">
      <w:pPr>
        <w:spacing w:after="60"/>
        <w:jc w:val="center"/>
      </w:pPr>
      <w:r>
        <w:rPr>
          <w:b/>
          <w:bCs/>
          <w:color w:val="1F3864"/>
          <w:sz w:val="32"/>
          <w:szCs w:val="32"/>
        </w:rPr>
        <w:t>GEOTECHNIK / STUDIU GEO — EXTRAS DIN DOCUMENTAȚIE</w:t>
      </w:r>
    </w:p>
    <w:p w14:paraId="0A45F692" w14:textId="77777777" w:rsidR="004D7AB8" w:rsidRDefault="00000000">
      <w:pPr>
        <w:spacing w:after="240"/>
        <w:jc w:val="center"/>
      </w:pPr>
      <w:r>
        <w:rPr>
          <w:color w:val="2E5496"/>
          <w:sz w:val="20"/>
          <w:szCs w:val="20"/>
        </w:rPr>
        <w:t>Schallergasse 35, 1120 Wien · toate referințele la teren de fundare găsite în documentele existente · întocmit 09.07.2026</w:t>
      </w:r>
    </w:p>
    <w:p w14:paraId="39110266" w14:textId="77777777" w:rsidR="004D7AB8" w:rsidRDefault="00000000">
      <w:pPr>
        <w:pStyle w:val="Titlu1"/>
      </w:pPr>
      <w:r>
        <w:t>1. Concluzia pe scurt</w:t>
      </w:r>
    </w:p>
    <w:p w14:paraId="5C95E835" w14:textId="77777777" w:rsidR="004D7AB8" w:rsidRDefault="00000000">
      <w:r>
        <w:rPr>
          <w:b/>
          <w:bCs/>
        </w:rPr>
        <w:t>Nu există un studiu geotehnic de sine stătător (Bodengutachten / Baugrundgutachten) în documentația predată.</w:t>
      </w:r>
      <w:r>
        <w:t xml:space="preserve"> Există însă informații geotehnice substanțiale ÎN INTERIORUL predimensionării statice („Statische Vorbemessung”, Krammer &amp; Partner / birou cu GF DI Dr. Anton Pech și DI Peter Herzina, proiect „Schallergasse 35”, calcule MicroFe datate 30.11.2021), bazate pe: (1) sondaje proprii de fundație pe amplasament (gropi de explorare) și (2) profile de foraj din Baugrundkataster-ul orașului Viena (MA 29). Acestea sunt rezumate mai jos, cu citate exacte.</w:t>
      </w:r>
    </w:p>
    <w:p w14:paraId="7DFA1B55" w14:textId="77777777" w:rsidR="004D7AB8" w:rsidRDefault="00000000">
      <w:pPr>
        <w:pStyle w:val="Titlu1"/>
      </w:pPr>
      <w:r>
        <w:t>2. Sursele de date despre teren identificate</w:t>
      </w:r>
    </w:p>
    <w:p w14:paraId="7EF78329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Sondaje de fundație pe amplasament: </w:t>
      </w:r>
      <w:r>
        <w:t>„Fundamentuntersuchungen vor Ort (mittels Erkundungsöffnungen)” — fundația a fost dezvelită prin sondaj în puncte accesibile din subsol/parter (sursa: Statische Vorbemessung, partea 8, cap. Grundlagen).</w:t>
      </w:r>
    </w:p>
    <w:p w14:paraId="786FC2B0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Baugrundkataster Wien (MA 29): </w:t>
      </w:r>
      <w:r>
        <w:t xml:space="preserve">„Bohrprofile aus dem Baugrundkataster der Stadt Wien” — profile de foraj din cadastrul geotehnic al Vienei, furnizate de MA 29 (Brückenbau und Grundbau). Referință exactă în calcule: </w:t>
      </w:r>
      <w:r>
        <w:rPr>
          <w:b/>
          <w:bCs/>
        </w:rPr>
        <w:t>Pr.Zl. 04932-2005/0001-GSV</w:t>
      </w:r>
      <w:r>
        <w:t xml:space="preserve"> (conform hotărârii Consiliului Municipal din 14.12.2005). Notă din document: datele MA 29 sunt „unverbindlich” (fără caracter obligatoriu/garanție).</w:t>
      </w:r>
    </w:p>
    <w:p w14:paraId="728CD172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Mauerwerksgutachten: </w:t>
      </w:r>
      <w:r>
        <w:t>expertiză separată asupra zidăriei (rezistență cărămidă/mortar) — menționată ca document de bază; caracteristicile zidăriei de fundare se preiau din aceasta.</w:t>
      </w:r>
    </w:p>
    <w:p w14:paraId="1F4BF7D4" w14:textId="77777777" w:rsidR="004D7AB8" w:rsidRDefault="00000000">
      <w:pPr>
        <w:pStyle w:val="Titlu1"/>
      </w:pPr>
      <w:r>
        <w:t>3. Condițiile de teren constatate (citate + traducere)</w:t>
      </w:r>
    </w:p>
    <w:p w14:paraId="406F4BC5" w14:textId="77777777" w:rsidR="004D7AB8" w:rsidRDefault="00000000">
      <w:pPr>
        <w:pStyle w:val="Titlu2"/>
      </w:pPr>
      <w:r>
        <w:t>3.1 Natura terenului sub fundații</w:t>
      </w:r>
    </w:p>
    <w:p w14:paraId="08BA908C" w14:textId="77777777" w:rsidR="004D7AB8" w:rsidRDefault="00000000">
      <w:pPr>
        <w:pBdr>
          <w:left w:val="single" w:sz="20" w:space="0" w:color="2E5496"/>
        </w:pBdr>
        <w:shd w:val="clear" w:color="auto" w:fill="EDF2F9"/>
        <w:spacing w:before="80"/>
      </w:pPr>
      <w:r>
        <w:rPr>
          <w:i/>
          <w:iCs/>
        </w:rPr>
        <w:t>„Im Zuge der Untersuchung wurde die Fundierung stichprobenartig freigelegt. An den freigelegten Stellen konnte der Untergrund begutachtet werden. Es handelt sich um sehr schluffigen Sand.”</w:t>
      </w:r>
    </w:p>
    <w:p w14:paraId="78480560" w14:textId="77777777" w:rsidR="004D7AB8" w:rsidRDefault="00000000">
      <w:r>
        <w:rPr>
          <w:b/>
          <w:bCs/>
        </w:rPr>
        <w:t xml:space="preserve">RO: </w:t>
      </w:r>
      <w:r>
        <w:t xml:space="preserve">La sondajele efectuate, fundația a fost dezvelită punctual; terenul examinat la aceste deschideri este </w:t>
      </w:r>
      <w:r>
        <w:rPr>
          <w:b/>
          <w:bCs/>
        </w:rPr>
        <w:t>nisip foarte prăfos (schluffiger Sand)</w:t>
      </w:r>
      <w:r>
        <w:t>.</w:t>
      </w:r>
    </w:p>
    <w:p w14:paraId="7E032EC1" w14:textId="77777777" w:rsidR="004D7AB8" w:rsidRDefault="00000000">
      <w:pPr>
        <w:pStyle w:val="Titlu2"/>
      </w:pPr>
      <w:r>
        <w:t>3.2 Apă subterană</w:t>
      </w:r>
    </w:p>
    <w:p w14:paraId="5B259E1E" w14:textId="77777777" w:rsidR="004D7AB8" w:rsidRDefault="00000000">
      <w:pPr>
        <w:pBdr>
          <w:left w:val="single" w:sz="20" w:space="0" w:color="2E5496"/>
        </w:pBdr>
        <w:shd w:val="clear" w:color="auto" w:fill="EDF2F9"/>
        <w:spacing w:before="80"/>
      </w:pPr>
      <w:r>
        <w:rPr>
          <w:i/>
          <w:iCs/>
        </w:rPr>
        <w:t>„Grundwasser konnte in den Öffnungen nicht vorgefunden werden. Auch das anstehende Mauerwerk ist weitestgehend trocken.”</w:t>
      </w:r>
    </w:p>
    <w:p w14:paraId="4D2FD66A" w14:textId="77777777" w:rsidR="004D7AB8" w:rsidRDefault="00000000">
      <w:r>
        <w:rPr>
          <w:b/>
          <w:bCs/>
        </w:rPr>
        <w:t xml:space="preserve">RO: </w:t>
      </w:r>
      <w:r>
        <w:t>Nu s-a găsit apă subterană în gropile de sondaj; zidăria adiacentă este în mare parte uscată.</w:t>
      </w:r>
    </w:p>
    <w:p w14:paraId="3F418177" w14:textId="77777777" w:rsidR="004D7AB8" w:rsidRDefault="00000000">
      <w:pPr>
        <w:pStyle w:val="Titlu2"/>
      </w:pPr>
      <w:r>
        <w:t>3.3 Umplutură semnalată în profilul de foraj (Baugrundkataster)</w:t>
      </w:r>
    </w:p>
    <w:p w14:paraId="4F108DB8" w14:textId="77777777" w:rsidR="004D7AB8" w:rsidRDefault="00000000">
      <w:pPr>
        <w:pBdr>
          <w:left w:val="single" w:sz="20" w:space="0" w:color="2E5496"/>
        </w:pBdr>
        <w:shd w:val="clear" w:color="auto" w:fill="EDF2F9"/>
        <w:spacing w:before="80"/>
      </w:pPr>
      <w:r>
        <w:rPr>
          <w:i/>
          <w:iCs/>
        </w:rPr>
        <w:t>„VERFÜLLUNG: 0,00 m – 5,00 m: Sonstige, k.A.” — „Die von der MA 29 gemäß Beschluss des Gemeinderates vom 14.12.2005, Pr.Zl. 04932-2005/0001-GSV aus dem Baugrundkataster zur Verfügung gestellten Daten sind unverbindlich.”</w:t>
      </w:r>
    </w:p>
    <w:p w14:paraId="49199D5E" w14:textId="77777777" w:rsidR="004D7AB8" w:rsidRDefault="00000000">
      <w:r>
        <w:rPr>
          <w:b/>
          <w:bCs/>
        </w:rPr>
        <w:t xml:space="preserve">RO: </w:t>
      </w:r>
      <w:r>
        <w:t xml:space="preserve">Profilul de foraj din cadastru indică </w:t>
      </w:r>
      <w:r>
        <w:rPr>
          <w:b/>
          <w:bCs/>
        </w:rPr>
        <w:t>umplutură („Verfüllung”) pe intervalul 0,00–5,00 m, tip nespecificat</w:t>
      </w:r>
      <w:r>
        <w:t xml:space="preserve"> — informație de reținut pentru placa de fundare; datele sunt orientative, fără garanție.</w:t>
      </w:r>
    </w:p>
    <w:p w14:paraId="76B6EA99" w14:textId="77777777" w:rsidR="004D7AB8" w:rsidRDefault="00000000">
      <w:pPr>
        <w:pStyle w:val="Titlu2"/>
      </w:pPr>
      <w:r>
        <w:lastRenderedPageBreak/>
        <w:t>3.4 Parametrii geotehnici folosiți în calcul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73"/>
        <w:gridCol w:w="2146"/>
        <w:gridCol w:w="2781"/>
      </w:tblGrid>
      <w:tr w:rsidR="004D7AB8" w14:paraId="63EEA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2EC69" w14:textId="77777777" w:rsidR="004D7AB8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Parametru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469AA" w14:textId="77777777" w:rsidR="004D7AB8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Valoare</w:t>
            </w:r>
          </w:p>
        </w:tc>
        <w:tc>
          <w:tcPr>
            <w:tcW w:w="23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595A" w14:textId="77777777" w:rsidR="004D7AB8" w:rsidRDefault="00000000">
            <w:pPr>
              <w:spacing w:after="0"/>
            </w:pPr>
            <w:r>
              <w:rPr>
                <w:b/>
                <w:bCs/>
                <w:color w:val="FFFFFF"/>
              </w:rPr>
              <w:t>Sursă/Normă</w:t>
            </w:r>
          </w:p>
        </w:tc>
      </w:tr>
      <w:tr w:rsidR="004D7AB8" w14:paraId="5CA4FAA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6B598" w14:textId="77777777" w:rsidR="004D7AB8" w:rsidRDefault="00000000">
            <w:pPr>
              <w:spacing w:after="0"/>
            </w:pPr>
            <w:r>
              <w:t>Greutate volumică (Wichte) γ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7A09" w14:textId="77777777" w:rsidR="004D7AB8" w:rsidRDefault="00000000">
            <w:pPr>
              <w:spacing w:after="0"/>
            </w:pPr>
            <w:r>
              <w:t>20,0 kN/m³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381BC" w14:textId="77777777" w:rsidR="004D7AB8" w:rsidRDefault="00000000">
            <w:pPr>
              <w:spacing w:after="0"/>
            </w:pPr>
            <w:r>
              <w:t>„gemäß Aufschlüssen/Bohrpfahlprofil”</w:t>
            </w:r>
          </w:p>
        </w:tc>
      </w:tr>
      <w:tr w:rsidR="004D7AB8" w14:paraId="797CFD2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11EC7" w14:textId="77777777" w:rsidR="004D7AB8" w:rsidRDefault="00000000">
            <w:pPr>
              <w:spacing w:after="0"/>
            </w:pPr>
            <w:r>
              <w:t>Coeziune c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9C06" w14:textId="77777777" w:rsidR="004D7AB8" w:rsidRDefault="00000000">
            <w:pPr>
              <w:spacing w:after="0"/>
            </w:pPr>
            <w:r>
              <w:t>3,0 kN/m²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C62F3" w14:textId="77777777" w:rsidR="004D7AB8" w:rsidRDefault="00000000">
            <w:pPr>
              <w:spacing w:after="0"/>
            </w:pPr>
            <w:r>
              <w:t>idem</w:t>
            </w:r>
          </w:p>
        </w:tc>
      </w:tr>
      <w:tr w:rsidR="004D7AB8" w14:paraId="678001F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80107" w14:textId="77777777" w:rsidR="004D7AB8" w:rsidRDefault="00000000">
            <w:pPr>
              <w:spacing w:after="0"/>
            </w:pPr>
            <w:r>
              <w:t>Unghi de frecare internă φ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C572B" w14:textId="77777777" w:rsidR="004D7AB8" w:rsidRDefault="00000000">
            <w:pPr>
              <w:spacing w:after="0"/>
            </w:pPr>
            <w:r>
              <w:t>27,5°</w:t>
            </w:r>
          </w:p>
        </w:tc>
        <w:tc>
          <w:tcPr>
            <w:tcW w:w="2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8B622" w14:textId="77777777" w:rsidR="004D7AB8" w:rsidRDefault="00000000">
            <w:pPr>
              <w:spacing w:after="0"/>
            </w:pPr>
            <w:r>
              <w:t>idem</w:t>
            </w:r>
          </w:p>
        </w:tc>
      </w:tr>
      <w:tr w:rsidR="004D7AB8" w14:paraId="71A56597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D7D20C" w14:textId="77777777" w:rsidR="004D7AB8" w:rsidRDefault="00000000">
            <w:pPr>
              <w:spacing w:after="0"/>
            </w:pPr>
            <w:r>
              <w:t>Presiune admisibilă pe teren (zulässige Bodenpressung)</w:t>
            </w:r>
          </w:p>
        </w:tc>
        <w:tc>
          <w:tcPr>
            <w:tcW w:w="2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1D91F" w14:textId="77777777" w:rsidR="004D7AB8" w:rsidRDefault="004D7AB8">
            <w:pPr>
              <w:spacing w:after="0"/>
            </w:pPr>
          </w:p>
        </w:tc>
        <w:tc>
          <w:tcPr>
            <w:tcW w:w="2300" w:type="dxa"/>
            <w:shd w:val="clear" w:color="auto" w:fill="F2F5F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34E09" w14:textId="77777777" w:rsidR="004D7AB8" w:rsidRDefault="00000000">
            <w:pPr>
              <w:spacing w:after="0"/>
            </w:pPr>
            <w:r>
              <w:t>ÖNORM B 1997-1-1</w:t>
            </w:r>
          </w:p>
        </w:tc>
      </w:tr>
    </w:tbl>
    <w:p w14:paraId="71374624" w14:textId="77777777" w:rsidR="004D7AB8" w:rsidRDefault="00000000">
      <w:pPr>
        <w:pStyle w:val="Titlu2"/>
      </w:pPr>
      <w:r>
        <w:t>3.5 Fundațiile existente și consecința în proiect</w:t>
      </w:r>
    </w:p>
    <w:p w14:paraId="708ACFAE" w14:textId="77777777" w:rsidR="004D7AB8" w:rsidRDefault="00000000">
      <w:pPr>
        <w:pStyle w:val="Listparagraf"/>
        <w:numPr>
          <w:ilvl w:val="0"/>
          <w:numId w:val="2"/>
        </w:numPr>
      </w:pPr>
      <w:r>
        <w:t>Clădirea este subsolită (cu excepția gangului); fundare pe ziduri de cărămidă plină („Gründungsmauern” tipice epocii Gründerzeit); pereți subsol 75 cm, cu evazare de 10–15 cm la fundație; adâncime de încastrare (Einbindetiefe) 1,10–1,40 m (în unele calcule 0,80 m).</w:t>
      </w:r>
    </w:p>
    <w:p w14:paraId="184E491D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Presiuni pe teren calculate: </w:t>
      </w:r>
      <w:r>
        <w:t>perete exterior: 494 kN/m² înainte → 526 kN/m² după mansardare; zid median: 735 → 813 kN/m². Ambele DEPĂȘESC presiunea admisibilă de 270 kN/m².</w:t>
      </w:r>
    </w:p>
    <w:p w14:paraId="0E579D9A" w14:textId="77777777" w:rsidR="004D7AB8" w:rsidRDefault="00000000">
      <w:pPr>
        <w:pBdr>
          <w:left w:val="single" w:sz="20" w:space="0" w:color="2E5496"/>
        </w:pBdr>
        <w:shd w:val="clear" w:color="auto" w:fill="EDF2F9"/>
        <w:spacing w:before="80"/>
      </w:pPr>
      <w:r>
        <w:rPr>
          <w:i/>
          <w:iCs/>
        </w:rPr>
        <w:t>„Zur Erlangung der geforderten Grundbruchsicherheit wird eine Stahlbetonplatte vorgesehen. Plattenstärke: 30 cm.” / „Die Ausführung von Verstärkungsmaßnahmen an den Fundamenten (z.B. STB-Platte) wird aber empfohlen.”</w:t>
      </w:r>
    </w:p>
    <w:p w14:paraId="5245DC09" w14:textId="77777777" w:rsidR="004D7AB8" w:rsidRDefault="00000000">
      <w:r>
        <w:rPr>
          <w:b/>
          <w:bCs/>
        </w:rPr>
        <w:t xml:space="preserve">RO: </w:t>
      </w:r>
      <w:r>
        <w:t xml:space="preserve">Pentru siguranța la cedarea terenului se prevede o </w:t>
      </w:r>
      <w:r>
        <w:rPr>
          <w:b/>
          <w:bCs/>
        </w:rPr>
        <w:t>placă de beton armat de 30 cm</w:t>
      </w:r>
      <w:r>
        <w:t xml:space="preserve"> (soluția „Fundamentplatte” care apare și în autorizația de construire). Fundația existentă este evaluată ca aptă static („ausreichend tragfähig”), dar cu recomandarea expresă de consolidare prin placă STB.</w:t>
      </w:r>
    </w:p>
    <w:p w14:paraId="5D171CDC" w14:textId="77777777" w:rsidR="004D7AB8" w:rsidRDefault="00000000">
      <w:pPr>
        <w:pStyle w:val="Titlu2"/>
      </w:pPr>
      <w:r>
        <w:t>3.6 Evaluare seismică / nivel de cunoaștere</w:t>
      </w:r>
    </w:p>
    <w:p w14:paraId="5ABB0AB9" w14:textId="77777777" w:rsidR="004D7AB8" w:rsidRDefault="00000000">
      <w:pPr>
        <w:pStyle w:val="Listparagraf"/>
        <w:numPr>
          <w:ilvl w:val="0"/>
          <w:numId w:val="2"/>
        </w:numPr>
      </w:pPr>
      <w:r>
        <w:t>Evaluarea stării construcției s-a făcut la nivel de cunoaștere KL3 conform ÖNORM B 1998-3 (Anexa B), cu consultarea dosarului MA 37 (planuri de consens) și verificări la fața locului.</w:t>
      </w:r>
    </w:p>
    <w:p w14:paraId="54973D23" w14:textId="77777777" w:rsidR="004D7AB8" w:rsidRDefault="00000000">
      <w:pPr>
        <w:pStyle w:val="Titlu1"/>
      </w:pPr>
      <w:r>
        <w:t>4. Ce lipsește / recomandări</w:t>
      </w:r>
    </w:p>
    <w:p w14:paraId="49115110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Nu există raport geotehnic dedicat. </w:t>
      </w:r>
      <w:r>
        <w:t>Pentru proiectul de execuție al plăcii de fundare, staticianul poate cere: extrasul complet MA 29 din Baugrundkataster (referință: Pr.Zl. 04932-2005/0001-GSV) și, dacă o consideră necesară, o investigație geotehnică nouă (1–2 foraje/penetrări + raport) — cost tipic redus față de riscul umpluturii de 0–5 m semnalate.</w:t>
      </w:r>
    </w:p>
    <w:p w14:paraId="385FBB7D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Obligație din autorizație (Bescheid pct. 7–8): </w:t>
      </w:r>
      <w:r>
        <w:t>la începerea lucrărilor, ipotezele statice privind terenul TREBUIE verificate la fața locului („Beschau des Untergrundes”) de Prüfingenieur împreună cu Bauführer, inclusiv asigurarea gropii de fundare lângă construcțiile vecine.</w:t>
      </w:r>
    </w:p>
    <w:p w14:paraId="4BA87ABC" w14:textId="77777777" w:rsidR="004D7AB8" w:rsidRDefault="00000000">
      <w:pPr>
        <w:pStyle w:val="Listparagraf"/>
        <w:numPr>
          <w:ilvl w:val="0"/>
          <w:numId w:val="2"/>
        </w:numPr>
      </w:pPr>
      <w:r>
        <w:rPr>
          <w:b/>
          <w:bCs/>
        </w:rPr>
        <w:t xml:space="preserve">Beweissicherung: </w:t>
      </w:r>
      <w:r>
        <w:t>starea imobilelor vecine trebuie documentată înainte de lucrările la fundații (vecinul de la nr. 36 a fost deja critic în procedura de autorizare).</w:t>
      </w:r>
    </w:p>
    <w:p w14:paraId="19794D59" w14:textId="77777777" w:rsidR="004D7AB8" w:rsidRDefault="00000000">
      <w:r>
        <w:rPr>
          <w:i/>
          <w:iCs/>
        </w:rPr>
        <w:t>Surse: Statische Vorbemessung (părțile 6, 8, 9 — OCR), STATIK VorKonzept 2021-12-07, Baubescheid MA37/1539234-2021-1. Citatele sunt preluate din OCR; pentru depuneri oficiale folosiți documentele originale scanate din folderul „Statik”.</w:t>
      </w:r>
    </w:p>
    <w:sectPr w:rsidR="004D7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80713F"/>
    <w:multiLevelType w:val="hybridMultilevel"/>
    <w:tmpl w:val="B6C2BFE4"/>
    <w:lvl w:ilvl="0" w:tplc="08F29A28">
      <w:start w:val="1"/>
      <w:numFmt w:val="bullet"/>
      <w:lvlText w:val="•"/>
      <w:lvlJc w:val="left"/>
      <w:pPr>
        <w:ind w:left="460" w:hanging="260"/>
      </w:pPr>
    </w:lvl>
    <w:lvl w:ilvl="1" w:tplc="62A4C460">
      <w:numFmt w:val="decimal"/>
      <w:lvlText w:val=""/>
      <w:lvlJc w:val="left"/>
    </w:lvl>
    <w:lvl w:ilvl="2" w:tplc="4ED2419A">
      <w:numFmt w:val="decimal"/>
      <w:lvlText w:val=""/>
      <w:lvlJc w:val="left"/>
    </w:lvl>
    <w:lvl w:ilvl="3" w:tplc="12ACD016">
      <w:numFmt w:val="decimal"/>
      <w:lvlText w:val=""/>
      <w:lvlJc w:val="left"/>
    </w:lvl>
    <w:lvl w:ilvl="4" w:tplc="6884FFF4">
      <w:numFmt w:val="decimal"/>
      <w:lvlText w:val=""/>
      <w:lvlJc w:val="left"/>
    </w:lvl>
    <w:lvl w:ilvl="5" w:tplc="C7BAB8AE">
      <w:numFmt w:val="decimal"/>
      <w:lvlText w:val=""/>
      <w:lvlJc w:val="left"/>
    </w:lvl>
    <w:lvl w:ilvl="6" w:tplc="9710CD58">
      <w:numFmt w:val="decimal"/>
      <w:lvlText w:val=""/>
      <w:lvlJc w:val="left"/>
    </w:lvl>
    <w:lvl w:ilvl="7" w:tplc="5936C3A0">
      <w:numFmt w:val="decimal"/>
      <w:lvlText w:val=""/>
      <w:lvlJc w:val="left"/>
    </w:lvl>
    <w:lvl w:ilvl="8" w:tplc="7D1E6FF8">
      <w:numFmt w:val="decimal"/>
      <w:lvlText w:val=""/>
      <w:lvlJc w:val="left"/>
    </w:lvl>
  </w:abstractNum>
  <w:abstractNum w:abstractNumId="1" w15:restartNumberingAfterBreak="0">
    <w:nsid w:val="77C33970"/>
    <w:multiLevelType w:val="hybridMultilevel"/>
    <w:tmpl w:val="1F2E6D26"/>
    <w:lvl w:ilvl="0" w:tplc="D8F23A34">
      <w:start w:val="1"/>
      <w:numFmt w:val="bullet"/>
      <w:lvlText w:val="●"/>
      <w:lvlJc w:val="left"/>
      <w:pPr>
        <w:ind w:left="720" w:hanging="360"/>
      </w:pPr>
    </w:lvl>
    <w:lvl w:ilvl="1" w:tplc="6456A3F2">
      <w:start w:val="1"/>
      <w:numFmt w:val="bullet"/>
      <w:lvlText w:val="○"/>
      <w:lvlJc w:val="left"/>
      <w:pPr>
        <w:ind w:left="1440" w:hanging="360"/>
      </w:pPr>
    </w:lvl>
    <w:lvl w:ilvl="2" w:tplc="1660E1E0">
      <w:start w:val="1"/>
      <w:numFmt w:val="bullet"/>
      <w:lvlText w:val="■"/>
      <w:lvlJc w:val="left"/>
      <w:pPr>
        <w:ind w:left="2160" w:hanging="360"/>
      </w:pPr>
    </w:lvl>
    <w:lvl w:ilvl="3" w:tplc="005AB93E">
      <w:start w:val="1"/>
      <w:numFmt w:val="bullet"/>
      <w:lvlText w:val="●"/>
      <w:lvlJc w:val="left"/>
      <w:pPr>
        <w:ind w:left="2880" w:hanging="360"/>
      </w:pPr>
    </w:lvl>
    <w:lvl w:ilvl="4" w:tplc="2F52DA2A">
      <w:start w:val="1"/>
      <w:numFmt w:val="bullet"/>
      <w:lvlText w:val="○"/>
      <w:lvlJc w:val="left"/>
      <w:pPr>
        <w:ind w:left="3600" w:hanging="360"/>
      </w:pPr>
    </w:lvl>
    <w:lvl w:ilvl="5" w:tplc="F5741594">
      <w:start w:val="1"/>
      <w:numFmt w:val="bullet"/>
      <w:lvlText w:val="■"/>
      <w:lvlJc w:val="left"/>
      <w:pPr>
        <w:ind w:left="4320" w:hanging="360"/>
      </w:pPr>
    </w:lvl>
    <w:lvl w:ilvl="6" w:tplc="199E198E">
      <w:start w:val="1"/>
      <w:numFmt w:val="bullet"/>
      <w:lvlText w:val="●"/>
      <w:lvlJc w:val="left"/>
      <w:pPr>
        <w:ind w:left="5040" w:hanging="360"/>
      </w:pPr>
    </w:lvl>
    <w:lvl w:ilvl="7" w:tplc="C2AE343C">
      <w:start w:val="1"/>
      <w:numFmt w:val="bullet"/>
      <w:lvlText w:val="●"/>
      <w:lvlJc w:val="left"/>
      <w:pPr>
        <w:ind w:left="5760" w:hanging="360"/>
      </w:pPr>
    </w:lvl>
    <w:lvl w:ilvl="8" w:tplc="672C6C58">
      <w:start w:val="1"/>
      <w:numFmt w:val="bullet"/>
      <w:lvlText w:val="●"/>
      <w:lvlJc w:val="left"/>
      <w:pPr>
        <w:ind w:left="6480" w:hanging="360"/>
      </w:pPr>
    </w:lvl>
  </w:abstractNum>
  <w:num w:numId="1" w16cid:durableId="1434933146">
    <w:abstractNumId w:val="1"/>
    <w:lvlOverride w:ilvl="0">
      <w:startOverride w:val="1"/>
    </w:lvlOverride>
  </w:num>
  <w:num w:numId="2" w16cid:durableId="5074055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7AB8"/>
    <w:rsid w:val="000B5FAE"/>
    <w:rsid w:val="004D7AB8"/>
    <w:rsid w:val="00BA4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423323"/>
  <w15:docId w15:val="{CF335658-88DB-4F78-839F-23F4829D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ro-RO" w:eastAsia="ro-RO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uiPriority w:val="9"/>
    <w:qFormat/>
    <w:pPr>
      <w:spacing w:before="260" w:after="140"/>
      <w:outlineLvl w:val="0"/>
    </w:pPr>
    <w:rPr>
      <w:b/>
      <w:bCs/>
      <w:color w:val="1F3864"/>
      <w:sz w:val="28"/>
      <w:szCs w:val="28"/>
    </w:rPr>
  </w:style>
  <w:style w:type="paragraph" w:styleId="Titlu2">
    <w:name w:val="heading 2"/>
    <w:uiPriority w:val="9"/>
    <w:unhideWhenUsed/>
    <w:qFormat/>
    <w:pPr>
      <w:spacing w:before="200" w:after="100"/>
      <w:outlineLvl w:val="1"/>
    </w:pPr>
    <w:rPr>
      <w:b/>
      <w:bCs/>
      <w:color w:val="2E5496"/>
      <w:sz w:val="23"/>
      <w:szCs w:val="23"/>
    </w:rPr>
  </w:style>
  <w:style w:type="paragraph" w:styleId="Titlu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lu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lu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lu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Titlu">
    <w:name w:val="Title"/>
    <w:uiPriority w:val="10"/>
    <w:qFormat/>
    <w:rPr>
      <w:sz w:val="56"/>
      <w:szCs w:val="56"/>
    </w:rPr>
  </w:style>
  <w:style w:type="paragraph" w:customStyle="1" w:styleId="Robust1">
    <w:name w:val="Robust1"/>
    <w:qFormat/>
    <w:rPr>
      <w:b/>
      <w:bCs/>
    </w:rPr>
  </w:style>
  <w:style w:type="paragraph" w:styleId="Listparagraf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innotdesubsol">
    <w:name w:val="footnote reference"/>
    <w:uiPriority w:val="99"/>
    <w:semiHidden/>
    <w:unhideWhenUsed/>
    <w:rPr>
      <w:vertAlign w:val="superscript"/>
    </w:rPr>
  </w:style>
  <w:style w:type="paragraph" w:styleId="Textnotdesubsol">
    <w:name w:val="footnote text"/>
    <w:link w:val="TextnotdesubsolCarac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notdesubsolCaracter">
    <w:name w:val="Text notă de subsol Caracter"/>
    <w:link w:val="Textnotdesubsol"/>
    <w:uiPriority w:val="99"/>
    <w:semiHidden/>
    <w:unhideWhenUsed/>
    <w:rPr>
      <w:sz w:val="20"/>
      <w:szCs w:val="20"/>
    </w:rPr>
  </w:style>
  <w:style w:type="character" w:styleId="Referinnotdefinal">
    <w:name w:val="endnote reference"/>
    <w:uiPriority w:val="99"/>
    <w:semiHidden/>
    <w:unhideWhenUsed/>
    <w:rPr>
      <w:vertAlign w:val="superscript"/>
    </w:rPr>
  </w:style>
  <w:style w:type="paragraph" w:styleId="Textnotdefinal">
    <w:name w:val="endnote text"/>
    <w:link w:val="TextnotdefinalCarac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notdefinalCaracter">
    <w:name w:val="Text notă de final Caracter"/>
    <w:link w:val="Textnotde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783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F2034</cp:lastModifiedBy>
  <cp:revision>2</cp:revision>
  <dcterms:created xsi:type="dcterms:W3CDTF">2026-07-09T10:56:00Z</dcterms:created>
  <dcterms:modified xsi:type="dcterms:W3CDTF">2026-07-09T10:56:00Z</dcterms:modified>
</cp:coreProperties>
</file>