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sz w:val="26"/>
        </w:rPr>
        <w:t>S.C. RED INTERNET SALES S.R.L.</w:t>
      </w:r>
    </w:p>
    <w:p>
      <w:pPr>
        <w:spacing w:after="40" w:before="0"/>
      </w:pPr>
      <w:r>
        <w:rPr>
          <w:b w:val="0"/>
          <w:i w:val="0"/>
          <w:color w:val="606060"/>
          <w:sz w:val="20"/>
        </w:rPr>
        <w:t>CUI 47342670 · J1/1863/2022 · Alba Iulia, str. Ștefan Luchian nr. 3B</w:t>
      </w:r>
    </w:p>
    <w:p>
      <w:pPr>
        <w:spacing w:after="120" w:before="0"/>
      </w:pPr>
      <w:r>
        <w:rPr>
          <w:b w:val="0"/>
          <w:i w:val="0"/>
          <w:sz w:val="22"/>
        </w:rPr>
      </w:r>
    </w:p>
    <w:p>
      <w:pPr>
        <w:spacing w:after="80" w:before="600"/>
        <w:jc w:val="center"/>
      </w:pPr>
      <w:r>
        <w:rPr>
          <w:b/>
          <w:i w:val="0"/>
          <w:color w:val="0F6A37"/>
          <w:sz w:val="52"/>
        </w:rPr>
        <w:t>PLAN DE AFACERI</w:t>
      </w:r>
    </w:p>
    <w:p>
      <w:pPr>
        <w:spacing w:after="120" w:before="0"/>
        <w:jc w:val="center"/>
      </w:pPr>
      <w:r>
        <w:rPr>
          <w:b/>
          <w:i w:val="0"/>
          <w:sz w:val="30"/>
        </w:rPr>
        <w:t>Integrare și producție de roboți AI și valorificarea energiei fotovoltaice</w:t>
      </w:r>
    </w:p>
    <w:p>
      <w:pPr>
        <w:spacing w:after="600" w:before="0"/>
        <w:jc w:val="center"/>
      </w:pPr>
      <w:r>
        <w:rPr>
          <w:b w:val="0"/>
          <w:i/>
          <w:color w:val="606060"/>
          <w:sz w:val="24"/>
        </w:rPr>
        <w:t>Autoconsum energetic ≥ 50% prin activitate de robotică &amp; inteligență artificială, cu valorificarea surplusului de energie în rețea</w:t>
      </w:r>
    </w:p>
    <w:p>
      <w:pPr>
        <w:spacing w:after="120" w:before="0"/>
        <w:jc w:val="center"/>
      </w:pPr>
      <w:r>
        <w:rPr>
          <w:b w:val="0"/>
          <w:i w:val="0"/>
          <w:sz w:val="22"/>
        </w:rPr>
        <w:t>Corelat cu proiectul „Panouri Fotovoltaice Autonome: Energia Viitorului pentru o Românie Sustenabilă” (cod SMIS 332037), finanțat prin Fondul pentru Modernizare.</w:t>
      </w:r>
    </w:p>
    <w:p>
      <w:pPr>
        <w:spacing w:after="120" w:before="400"/>
        <w:jc w:val="center"/>
      </w:pPr>
      <w:r>
        <w:rPr>
          <w:b w:val="0"/>
          <w:i w:val="0"/>
          <w:color w:val="606060"/>
          <w:sz w:val="20"/>
        </w:rPr>
        <w:t>Alba Iulia · 2026</w:t>
      </w:r>
    </w:p>
    <w:p>
      <w:r>
        <w:br w:type="page"/>
      </w:r>
    </w:p>
    <w:p>
      <w:pPr>
        <w:spacing w:before="240" w:after="80"/>
      </w:pPr>
      <w:r>
        <w:rPr>
          <w:b/>
          <w:color w:val="0F6A37"/>
          <w:sz w:val="30"/>
        </w:rPr>
        <w:t>1. Rezumat executiv</w:t>
      </w:r>
    </w:p>
    <w:p>
      <w:pPr>
        <w:spacing w:after="120" w:before="0"/>
      </w:pPr>
      <w:r>
        <w:rPr>
          <w:b w:val="0"/>
          <w:i w:val="0"/>
          <w:sz w:val="22"/>
        </w:rPr>
        <w:t>S.C. RED INTERNET SALES S.R.L. își extinde activitatea către un domeniu strategic cu creștere accelerată: integrarea, asamblarea și punerea în funcțiune de roboți humanoizi și roboți patrupezi (câini robot), împreună cu servicii de consultanță, automatizare și formare profesională în inteligență artificială și robotică.</w:t>
      </w:r>
    </w:p>
    <w:p>
      <w:pPr>
        <w:spacing w:after="40" w:before="0"/>
      </w:pPr>
      <w:r>
        <w:rPr>
          <w:b w:val="0"/>
          <w:i w:val="0"/>
          <w:sz w:val="22"/>
        </w:rPr>
        <w:t xml:space="preserve">Această activitate se desfășoară într-o hală industrială în comuna Albești (jud. Mureș), pe acoperișul căreia este instalată centrala fotovoltaică de 1 MW finanțată prin Fondul pentru Modernizare. Activitatea de robotică și AI (linie de asamblare, laborator de testare, cluster de calcul AI, stații de încărcare a flotei de roboți, climatizarea halei) constituie consumatorul intern care asigură </w:t>
      </w:r>
    </w:p>
    <w:p>
      <w:pPr>
        <w:spacing w:after="120" w:before="0"/>
      </w:pPr>
      <w:r>
        <w:rPr>
          <w:b/>
          <w:i w:val="0"/>
          <w:sz w:val="22"/>
        </w:rPr>
        <w:t>autoconsumul a cel puțin 50% din energia produsă (aproximativ 600.000 kWh/an), restul de aproximativ 50% (circa 600.000 kWh/an) fiind valorificat prin vânzare în rețeaua națională.</w:t>
      </w:r>
    </w:p>
    <w:p>
      <w:pPr>
        <w:spacing w:after="120" w:before="0"/>
      </w:pPr>
      <w:r>
        <w:rPr>
          <w:b w:val="0"/>
          <w:i w:val="0"/>
          <w:sz w:val="22"/>
        </w:rPr>
        <w:t>Modelul de afaceri combină patru surse de venit: (1) vânzări online de roboți și componente, (2) consultanță IT și deployment de roboți, (3) cursuri de specializare IT/AI/robotică, (4) valorificarea energiei fotovoltaice (economie din autoconsum + venit din vânzarea surplusului).</w:t>
      </w:r>
    </w:p>
    <w:p>
      <w:pPr>
        <w:spacing w:before="240" w:after="80"/>
      </w:pPr>
      <w:r>
        <w:rPr>
          <w:b/>
          <w:color w:val="0F6A37"/>
          <w:sz w:val="30"/>
        </w:rPr>
        <w:t>2. Prezentarea companiei</w:t>
      </w:r>
    </w:p>
    <w:tbl>
      <w:tblPr>
        <w:tblStyle w:val="TableGrid"/>
        <w:tblW w:type="auto" w:w="0"/>
        <w:jc w:val="center"/>
        <w:tblLook w:firstColumn="1" w:firstRow="1" w:lastColumn="0" w:lastRow="0" w:noHBand="0" w:noVBand="1" w:val="04A0"/>
      </w:tblPr>
      <w:tblGrid>
        <w:gridCol w:w="4320"/>
        <w:gridCol w:w="4320"/>
      </w:tblGrid>
      <w:tr>
        <w:tc>
          <w:tcPr>
            <w:tcW w:type="dxa" w:w="4320"/>
            <w:shd w:fill="0f6a37"/>
          </w:tcPr>
          <w:p>
            <w:r>
              <w:rPr>
                <w:b/>
                <w:color w:val="FFFFFF"/>
                <w:sz w:val="20"/>
              </w:rPr>
              <w:t>Element</w:t>
            </w:r>
          </w:p>
        </w:tc>
        <w:tc>
          <w:tcPr>
            <w:tcW w:type="dxa" w:w="4320"/>
            <w:shd w:fill="0f6a37"/>
          </w:tcPr>
          <w:p>
            <w:r>
              <w:rPr>
                <w:b/>
                <w:color w:val="FFFFFF"/>
                <w:sz w:val="20"/>
              </w:rPr>
              <w:t>Valoare</w:t>
            </w:r>
          </w:p>
        </w:tc>
      </w:tr>
      <w:tr>
        <w:tc>
          <w:tcPr>
            <w:tcW w:type="dxa" w:w="4320"/>
          </w:tcPr>
          <w:p>
            <w:r>
              <w:rPr>
                <w:sz w:val="20"/>
              </w:rPr>
              <w:t>Denumire</w:t>
            </w:r>
          </w:p>
        </w:tc>
        <w:tc>
          <w:tcPr>
            <w:tcW w:type="dxa" w:w="4320"/>
          </w:tcPr>
          <w:p>
            <w:r>
              <w:rPr>
                <w:sz w:val="20"/>
              </w:rPr>
              <w:t>S.C. RED INTERNET SALES S.R.L.</w:t>
            </w:r>
          </w:p>
        </w:tc>
      </w:tr>
      <w:tr>
        <w:tc>
          <w:tcPr>
            <w:tcW w:type="dxa" w:w="4320"/>
          </w:tcPr>
          <w:p>
            <w:r>
              <w:rPr>
                <w:sz w:val="20"/>
              </w:rPr>
              <w:t>CUI / Reg. Com.</w:t>
            </w:r>
          </w:p>
        </w:tc>
        <w:tc>
          <w:tcPr>
            <w:tcW w:type="dxa" w:w="4320"/>
          </w:tcPr>
          <w:p>
            <w:r>
              <w:rPr>
                <w:sz w:val="20"/>
              </w:rPr>
              <w:t>47342670 / J1/1863/2022</w:t>
            </w:r>
          </w:p>
        </w:tc>
      </w:tr>
      <w:tr>
        <w:tc>
          <w:tcPr>
            <w:tcW w:type="dxa" w:w="4320"/>
          </w:tcPr>
          <w:p>
            <w:r>
              <w:rPr>
                <w:sz w:val="20"/>
              </w:rPr>
              <w:t>Sediu social</w:t>
            </w:r>
          </w:p>
        </w:tc>
        <w:tc>
          <w:tcPr>
            <w:tcW w:type="dxa" w:w="4320"/>
          </w:tcPr>
          <w:p>
            <w:r>
              <w:rPr>
                <w:sz w:val="20"/>
              </w:rPr>
              <w:t>Municipiul Alba Iulia, str. Ștefan Luchian nr. 3B, ap. 11, jud. Alba</w:t>
            </w:r>
          </w:p>
        </w:tc>
      </w:tr>
      <w:tr>
        <w:tc>
          <w:tcPr>
            <w:tcW w:type="dxa" w:w="4320"/>
          </w:tcPr>
          <w:p>
            <w:r>
              <w:rPr>
                <w:sz w:val="20"/>
              </w:rPr>
              <w:t>Punct de lucru (propus)</w:t>
            </w:r>
          </w:p>
        </w:tc>
        <w:tc>
          <w:tcPr>
            <w:tcW w:type="dxa" w:w="4320"/>
          </w:tcPr>
          <w:p>
            <w:r>
              <w:rPr>
                <w:sz w:val="20"/>
              </w:rPr>
              <w:t>Comuna Albești, jud. Mureș, str. Barailor nr. 2 (hală industrială)</w:t>
            </w:r>
          </w:p>
        </w:tc>
      </w:tr>
      <w:tr>
        <w:tc>
          <w:tcPr>
            <w:tcW w:type="dxa" w:w="4320"/>
          </w:tcPr>
          <w:p>
            <w:r>
              <w:rPr>
                <w:sz w:val="20"/>
              </w:rPr>
              <w:t>Administrator</w:t>
            </w:r>
          </w:p>
        </w:tc>
        <w:tc>
          <w:tcPr>
            <w:tcW w:type="dxa" w:w="4320"/>
          </w:tcPr>
          <w:p>
            <w:r>
              <w:rPr>
                <w:sz w:val="20"/>
              </w:rPr>
              <w:t>Roș Radu-Ioan</w:t>
            </w:r>
          </w:p>
        </w:tc>
      </w:tr>
      <w:tr>
        <w:tc>
          <w:tcPr>
            <w:tcW w:type="dxa" w:w="4320"/>
          </w:tcPr>
          <w:p>
            <w:r>
              <w:rPr>
                <w:sz w:val="20"/>
              </w:rPr>
              <w:t>Formă</w:t>
            </w:r>
          </w:p>
        </w:tc>
        <w:tc>
          <w:tcPr>
            <w:tcW w:type="dxa" w:w="4320"/>
          </w:tcPr>
          <w:p>
            <w:r>
              <w:rPr>
                <w:sz w:val="20"/>
              </w:rPr>
              <w:t>Microîntreprindere, plătitoare de TVA</w:t>
            </w:r>
          </w:p>
        </w:tc>
      </w:tr>
      <w:tr>
        <w:tc>
          <w:tcPr>
            <w:tcW w:type="dxa" w:w="4320"/>
          </w:tcPr>
          <w:p>
            <w:r>
              <w:rPr>
                <w:sz w:val="20"/>
              </w:rPr>
              <w:t>CAEN actuale</w:t>
            </w:r>
          </w:p>
        </w:tc>
        <w:tc>
          <w:tcPr>
            <w:tcW w:type="dxa" w:w="4320"/>
          </w:tcPr>
          <w:p>
            <w:r>
              <w:rPr>
                <w:sz w:val="20"/>
              </w:rPr>
              <w:t>8559 (formare), 4791 (comerț online), 6202 (consultanță IT)</w:t>
            </w:r>
          </w:p>
        </w:tc>
      </w:tr>
      <w:tr>
        <w:tc>
          <w:tcPr>
            <w:tcW w:type="dxa" w:w="4320"/>
          </w:tcPr>
          <w:p>
            <w:r>
              <w:rPr>
                <w:sz w:val="20"/>
              </w:rPr>
              <w:t>Contact</w:t>
            </w:r>
          </w:p>
        </w:tc>
        <w:tc>
          <w:tcPr>
            <w:tcW w:type="dxa" w:w="4320"/>
          </w:tcPr>
          <w:p>
            <w:r>
              <w:rPr>
                <w:sz w:val="20"/>
              </w:rPr>
              <w:t>0757 112 211 · redinternetsales@gmail.com</w:t>
            </w:r>
          </w:p>
        </w:tc>
      </w:tr>
    </w:tbl>
    <w:p>
      <w:pPr>
        <w:spacing w:after="120" w:before="120"/>
      </w:pPr>
      <w:r>
        <w:rPr>
          <w:b w:val="0"/>
          <w:i w:val="0"/>
          <w:sz w:val="22"/>
        </w:rPr>
        <w:t>Codurile CAEN existente acoperă direct noile direcții de activitate: comerțul online (4791) pentru vânzarea de roboți și componente, consultanța IT (6202) pentru deployment și automatizare, iar formarea (8559) pentru programele de instruire în AI și robotică.</w:t>
      </w:r>
    </w:p>
    <w:p>
      <w:pPr>
        <w:spacing w:before="240" w:after="80"/>
      </w:pPr>
      <w:r>
        <w:rPr>
          <w:b/>
          <w:color w:val="0F6A37"/>
          <w:sz w:val="30"/>
        </w:rPr>
        <w:t>3. Viziune, misiune și obiective</w:t>
      </w:r>
    </w:p>
    <w:p>
      <w:pPr>
        <w:spacing w:after="0" w:before="0"/>
      </w:pPr>
      <w:r>
        <w:rPr>
          <w:b/>
          <w:i w:val="0"/>
          <w:sz w:val="22"/>
        </w:rPr>
        <w:t xml:space="preserve">Viziune: </w:t>
      </w:r>
    </w:p>
    <w:p>
      <w:pPr>
        <w:spacing w:after="120" w:before="0"/>
      </w:pPr>
      <w:r>
        <w:rPr>
          <w:b w:val="0"/>
          <w:i w:val="0"/>
          <w:sz w:val="22"/>
        </w:rPr>
        <w:t>Un integrator regional de soluții de robotică și inteligență artificială, alimentat cu energie 100% verde, produsă din surse proprii.</w:t>
      </w:r>
    </w:p>
    <w:p>
      <w:pPr>
        <w:pStyle w:val="ListBullet"/>
        <w:spacing w:after="60"/>
      </w:pPr>
      <w:r>
        <w:rPr>
          <w:b/>
          <w:sz w:val="22"/>
        </w:rPr>
        <w:t xml:space="preserve">Obiectiv operațional: </w:t>
      </w:r>
      <w:r>
        <w:rPr>
          <w:sz w:val="22"/>
        </w:rPr>
        <w:t>punerea în funcțiune a liniei de integrare roboți în hala din Albești și atingerea unui autoconsum de min. 50% din producția fotovoltaică</w:t>
      </w:r>
    </w:p>
    <w:p>
      <w:pPr>
        <w:pStyle w:val="ListBullet"/>
        <w:spacing w:after="60"/>
      </w:pPr>
      <w:r>
        <w:rPr>
          <w:b/>
          <w:sz w:val="22"/>
        </w:rPr>
        <w:t xml:space="preserve">Obiectiv comercial: </w:t>
      </w:r>
      <w:r>
        <w:rPr>
          <w:sz w:val="22"/>
        </w:rPr>
        <w:t>dezvoltarea celor patru linii de venit (vânzări, consultanță, formare, energie)</w:t>
      </w:r>
    </w:p>
    <w:p>
      <w:pPr>
        <w:pStyle w:val="ListBullet"/>
        <w:spacing w:after="60"/>
      </w:pPr>
      <w:r>
        <w:rPr>
          <w:b/>
          <w:sz w:val="22"/>
        </w:rPr>
        <w:t xml:space="preserve">Obiectiv energetic: </w:t>
      </w:r>
      <w:r>
        <w:rPr>
          <w:sz w:val="22"/>
        </w:rPr>
        <w:t>valorificarea integrală a energiei produse: autoconsum + vânzarea surplusului în rețea</w:t>
      </w:r>
    </w:p>
    <w:p>
      <w:pPr>
        <w:pStyle w:val="ListBullet"/>
        <w:spacing w:after="60"/>
      </w:pPr>
      <w:r>
        <w:rPr>
          <w:b/>
          <w:sz w:val="22"/>
        </w:rPr>
        <w:t xml:space="preserve">Obiectiv de sustenabilitate: </w:t>
      </w:r>
      <w:r>
        <w:rPr>
          <w:sz w:val="22"/>
        </w:rPr>
        <w:t>reducerea amprentei de carbon și alinierea la Pactul Verde European</w:t>
      </w:r>
    </w:p>
    <w:p>
      <w:pPr>
        <w:spacing w:before="240" w:after="80"/>
      </w:pPr>
      <w:r>
        <w:rPr>
          <w:b/>
          <w:color w:val="0F6A37"/>
          <w:sz w:val="30"/>
        </w:rPr>
        <w:t>4. Descrierea activității</w:t>
      </w:r>
    </w:p>
    <w:p>
      <w:pPr>
        <w:spacing w:before="160" w:after="80"/>
      </w:pPr>
      <w:r>
        <w:rPr>
          <w:b/>
          <w:color w:val="0F6A37"/>
          <w:sz w:val="25"/>
        </w:rPr>
        <w:t>4.1. Integrare și producție de roboți (consumatorul principal de energie)</w:t>
      </w:r>
    </w:p>
    <w:p>
      <w:pPr>
        <w:spacing w:after="120" w:before="0"/>
      </w:pPr>
      <w:r>
        <w:rPr>
          <w:b w:val="0"/>
          <w:i w:val="0"/>
          <w:sz w:val="22"/>
        </w:rPr>
        <w:t>În hala din Albești se organizează o linie de integrare, asamblare, configurare software și testare pentru roboți humanoizi și roboți patrupezi (câini robot), precum și pentru subansamble și componente. Această activitate industrială este principalul consumator de energie electrică al centralei fotovoltaice.</w:t>
      </w:r>
    </w:p>
    <w:p>
      <w:pPr>
        <w:pStyle w:val="ListBullet"/>
        <w:spacing w:after="60"/>
      </w:pPr>
      <w:r>
        <w:rPr>
          <w:sz w:val="22"/>
        </w:rPr>
        <w:t>Linie de asamblare și integrare mecanică (brațe robotice de asamblare, imprimante 3D metal/polimer, CNC, stații de sudură);</w:t>
      </w:r>
    </w:p>
    <w:p>
      <w:pPr>
        <w:pStyle w:val="ListBullet"/>
        <w:spacing w:after="60"/>
      </w:pPr>
      <w:r>
        <w:rPr>
          <w:sz w:val="22"/>
        </w:rPr>
        <w:t>Laborator de calcul AI: cluster GPU și servere edge pentru antrenarea modelelor, simulare și inferență;</w:t>
      </w:r>
    </w:p>
    <w:p>
      <w:pPr>
        <w:pStyle w:val="ListBullet"/>
        <w:spacing w:after="60"/>
      </w:pPr>
      <w:r>
        <w:rPr>
          <w:sz w:val="22"/>
        </w:rPr>
        <w:t>Stații de încărcare și operare a flotei de roboți (humanoizi, câini robot), testare baterii și burn-in;</w:t>
      </w:r>
    </w:p>
    <w:p>
      <w:pPr>
        <w:pStyle w:val="ListBullet"/>
        <w:spacing w:after="60"/>
      </w:pPr>
      <w:r>
        <w:rPr>
          <w:sz w:val="22"/>
        </w:rPr>
        <w:t>Cameră de testare / QA, bancuri de probă, climatizarea și controlul mediului halei.</w:t>
      </w:r>
    </w:p>
    <w:p>
      <w:pPr>
        <w:spacing w:before="160" w:after="80"/>
      </w:pPr>
      <w:r>
        <w:rPr>
          <w:b/>
          <w:color w:val="0F6A37"/>
          <w:sz w:val="25"/>
        </w:rPr>
        <w:t>4.2. Vânzări online (CAEN 4791)</w:t>
      </w:r>
    </w:p>
    <w:p>
      <w:pPr>
        <w:pStyle w:val="ListBullet"/>
        <w:spacing w:after="60"/>
      </w:pPr>
      <w:r>
        <w:rPr>
          <w:sz w:val="22"/>
        </w:rPr>
        <w:t>Roboți humanoizi (asistență, companion, servicii);</w:t>
      </w:r>
    </w:p>
    <w:p>
      <w:pPr>
        <w:pStyle w:val="ListBullet"/>
        <w:spacing w:after="60"/>
      </w:pPr>
      <w:r>
        <w:rPr>
          <w:sz w:val="22"/>
        </w:rPr>
        <w:t>Roboți patrupezi / câini robot (inspecție, securitate, agricultură);</w:t>
      </w:r>
    </w:p>
    <w:p>
      <w:pPr>
        <w:pStyle w:val="ListBullet"/>
        <w:spacing w:after="60"/>
      </w:pPr>
      <w:r>
        <w:rPr>
          <w:sz w:val="22"/>
        </w:rPr>
        <w:t>Piese și componente pentru roboți humanoizi: actuatori și servomotoare, articulații, brațe și mâini robotice, senzori (LiDAR, camere, IMU), baterii și module de alimentare, plăci de control și calculatoare de bord, carcase și structuri, cabluri și conectică.</w:t>
      </w:r>
    </w:p>
    <w:p>
      <w:pPr>
        <w:spacing w:before="160" w:after="80"/>
      </w:pPr>
      <w:r>
        <w:rPr>
          <w:b/>
          <w:color w:val="0F6A37"/>
          <w:sz w:val="25"/>
        </w:rPr>
        <w:t>4.3. Consultanță IT și deployment de roboți (CAEN 6202)</w:t>
      </w:r>
    </w:p>
    <w:p>
      <w:pPr>
        <w:pStyle w:val="ListBullet"/>
        <w:spacing w:after="60"/>
      </w:pPr>
      <w:r>
        <w:rPr>
          <w:sz w:val="22"/>
        </w:rPr>
        <w:t>Deployment și punere în funcțiune de roboți și câini AI la client;</w:t>
      </w:r>
    </w:p>
    <w:p>
      <w:pPr>
        <w:pStyle w:val="ListBullet"/>
        <w:spacing w:after="60"/>
      </w:pPr>
      <w:r>
        <w:rPr>
          <w:sz w:val="22"/>
        </w:rPr>
        <w:t>Automatizarea proceselor (RPA, integrare senzori, PLC/SCADA);</w:t>
      </w:r>
    </w:p>
    <w:p>
      <w:pPr>
        <w:pStyle w:val="ListBullet"/>
        <w:spacing w:after="60"/>
      </w:pPr>
      <w:r>
        <w:rPr>
          <w:sz w:val="22"/>
        </w:rPr>
        <w:t>Roboți de tip casier / asistent pentru magazine și retail;</w:t>
      </w:r>
    </w:p>
    <w:p>
      <w:pPr>
        <w:pStyle w:val="ListBullet"/>
        <w:spacing w:after="60"/>
      </w:pPr>
      <w:r>
        <w:rPr>
          <w:sz w:val="22"/>
        </w:rPr>
        <w:t>Roboți humanoizi de tip asistent și companion pentru persoane;</w:t>
      </w:r>
    </w:p>
    <w:p>
      <w:pPr>
        <w:pStyle w:val="ListBullet"/>
        <w:spacing w:after="60"/>
      </w:pPr>
      <w:r>
        <w:rPr>
          <w:sz w:val="22"/>
        </w:rPr>
        <w:t>Soluții robotice pentru industrie (manipulare, inspecție, logistică) și agricultură (monitorizare, teren);</w:t>
      </w:r>
    </w:p>
    <w:p>
      <w:pPr>
        <w:pStyle w:val="ListBullet"/>
        <w:spacing w:after="60"/>
      </w:pPr>
      <w:r>
        <w:rPr>
          <w:sz w:val="22"/>
        </w:rPr>
        <w:t>Mentenanță, actualizări software și suport tehnic.</w:t>
      </w:r>
    </w:p>
    <w:p>
      <w:pPr>
        <w:spacing w:before="160" w:after="80"/>
      </w:pPr>
      <w:r>
        <w:rPr>
          <w:b/>
          <w:color w:val="0F6A37"/>
          <w:sz w:val="25"/>
        </w:rPr>
        <w:t>4.4. Cursuri de specializare (CAEN 8559)</w:t>
      </w:r>
    </w:p>
    <w:p>
      <w:pPr>
        <w:spacing w:after="120" w:before="0"/>
      </w:pPr>
      <w:r>
        <w:rPr>
          <w:b w:val="0"/>
          <w:i w:val="0"/>
          <w:sz w:val="22"/>
        </w:rPr>
        <w:t>Cursuri de specializare în IT, inteligență artificială și robotică — programe de formare profesională a adulților de tip specializare (conform O.G. nr. 129/2000), care dezvoltă competențe specifice în cadrul ocupațiilor din Clasificarea Ocupațiilor din România (COR):</w:t>
      </w:r>
    </w:p>
    <w:tbl>
      <w:tblPr>
        <w:tblStyle w:val="TableGrid"/>
        <w:tblW w:type="auto" w:w="0"/>
        <w:jc w:val="center"/>
        <w:tblLook w:firstColumn="1" w:firstRow="1" w:lastColumn="0" w:lastRow="0" w:noHBand="0" w:noVBand="1" w:val="04A0"/>
      </w:tblPr>
      <w:tblGrid>
        <w:gridCol w:w="4320"/>
        <w:gridCol w:w="4320"/>
      </w:tblGrid>
      <w:tr>
        <w:tc>
          <w:tcPr>
            <w:tcW w:type="dxa" w:w="4320"/>
            <w:shd w:fill="0f6a37"/>
          </w:tcPr>
          <w:p>
            <w:r>
              <w:rPr>
                <w:b/>
                <w:color w:val="FFFFFF"/>
                <w:sz w:val="20"/>
              </w:rPr>
              <w:t>Cod COR</w:t>
            </w:r>
          </w:p>
        </w:tc>
        <w:tc>
          <w:tcPr>
            <w:tcW w:type="dxa" w:w="4320"/>
            <w:shd w:fill="0f6a37"/>
          </w:tcPr>
          <w:p>
            <w:r>
              <w:rPr>
                <w:b/>
                <w:color w:val="FFFFFF"/>
                <w:sz w:val="20"/>
              </w:rPr>
              <w:t>Curs de specializare</w:t>
            </w:r>
          </w:p>
        </w:tc>
      </w:tr>
      <w:tr>
        <w:tc>
          <w:tcPr>
            <w:tcW w:type="dxa" w:w="4320"/>
          </w:tcPr>
          <w:p>
            <w:r>
              <w:rPr>
                <w:sz w:val="20"/>
              </w:rPr>
              <w:t>251202</w:t>
            </w:r>
          </w:p>
        </w:tc>
        <w:tc>
          <w:tcPr>
            <w:tcW w:type="dxa" w:w="4320"/>
          </w:tcPr>
          <w:p>
            <w:r>
              <w:rPr>
                <w:sz w:val="20"/>
              </w:rPr>
              <w:t>Curs de specializare — Programator</w:t>
            </w:r>
          </w:p>
        </w:tc>
      </w:tr>
      <w:tr>
        <w:tc>
          <w:tcPr>
            <w:tcW w:type="dxa" w:w="4320"/>
          </w:tcPr>
          <w:p>
            <w:r>
              <w:rPr>
                <w:sz w:val="20"/>
              </w:rPr>
              <w:t>251203</w:t>
            </w:r>
          </w:p>
        </w:tc>
        <w:tc>
          <w:tcPr>
            <w:tcW w:type="dxa" w:w="4320"/>
          </w:tcPr>
          <w:p>
            <w:r>
              <w:rPr>
                <w:sz w:val="20"/>
              </w:rPr>
              <w:t>Curs de specializare — Inginer de sistem în informatică</w:t>
            </w:r>
          </w:p>
        </w:tc>
      </w:tr>
      <w:tr>
        <w:tc>
          <w:tcPr>
            <w:tcW w:type="dxa" w:w="4320"/>
          </w:tcPr>
          <w:p>
            <w:r>
              <w:rPr>
                <w:sz w:val="20"/>
              </w:rPr>
              <w:t>251401</w:t>
            </w:r>
          </w:p>
        </w:tc>
        <w:tc>
          <w:tcPr>
            <w:tcW w:type="dxa" w:w="4320"/>
          </w:tcPr>
          <w:p>
            <w:r>
              <w:rPr>
                <w:sz w:val="20"/>
              </w:rPr>
              <w:t>Curs de specializare — Proiectare asistată de calculator (CAD)</w:t>
            </w:r>
          </w:p>
        </w:tc>
      </w:tr>
      <w:tr>
        <w:tc>
          <w:tcPr>
            <w:tcW w:type="dxa" w:w="4320"/>
          </w:tcPr>
          <w:p>
            <w:r>
              <w:rPr>
                <w:sz w:val="20"/>
              </w:rPr>
              <w:t>214959</w:t>
            </w:r>
          </w:p>
        </w:tc>
        <w:tc>
          <w:tcPr>
            <w:tcW w:type="dxa" w:w="4320"/>
          </w:tcPr>
          <w:p>
            <w:r>
              <w:rPr>
                <w:sz w:val="20"/>
              </w:rPr>
              <w:t>Curs de specializare — Robotică (Inginer specialist în robotică)</w:t>
            </w:r>
          </w:p>
        </w:tc>
      </w:tr>
      <w:tr>
        <w:tc>
          <w:tcPr>
            <w:tcW w:type="dxa" w:w="4320"/>
          </w:tcPr>
          <w:p>
            <w:r>
              <w:rPr>
                <w:sz w:val="20"/>
              </w:rPr>
              <w:t>215202</w:t>
            </w:r>
          </w:p>
        </w:tc>
        <w:tc>
          <w:tcPr>
            <w:tcW w:type="dxa" w:w="4320"/>
          </w:tcPr>
          <w:p>
            <w:r>
              <w:rPr>
                <w:sz w:val="20"/>
              </w:rPr>
              <w:t>Curs de specializare — Automatizări (Inginer automatist)</w:t>
            </w:r>
          </w:p>
        </w:tc>
      </w:tr>
      <w:tr>
        <w:tc>
          <w:tcPr>
            <w:tcW w:type="dxa" w:w="4320"/>
          </w:tcPr>
          <w:p>
            <w:r>
              <w:rPr>
                <w:sz w:val="20"/>
              </w:rPr>
              <w:t>215239</w:t>
            </w:r>
          </w:p>
        </w:tc>
        <w:tc>
          <w:tcPr>
            <w:tcW w:type="dxa" w:w="4320"/>
          </w:tcPr>
          <w:p>
            <w:r>
              <w:rPr>
                <w:sz w:val="20"/>
              </w:rPr>
              <w:t>Curs de specializare — Cercetare în automatică</w:t>
            </w:r>
          </w:p>
        </w:tc>
      </w:tr>
      <w:tr>
        <w:tc>
          <w:tcPr>
            <w:tcW w:type="dxa" w:w="4320"/>
          </w:tcPr>
          <w:p>
            <w:r>
              <w:rPr>
                <w:sz w:val="20"/>
              </w:rPr>
              <w:t>242401</w:t>
            </w:r>
          </w:p>
        </w:tc>
        <w:tc>
          <w:tcPr>
            <w:tcW w:type="dxa" w:w="4320"/>
          </w:tcPr>
          <w:p>
            <w:r>
              <w:rPr>
                <w:sz w:val="20"/>
              </w:rPr>
              <w:t>Curs de specializare — Formator</w:t>
            </w:r>
          </w:p>
        </w:tc>
      </w:tr>
    </w:tbl>
    <w:p>
      <w:pPr>
        <w:spacing w:after="120" w:before="80"/>
      </w:pPr>
      <w:r>
        <w:rPr>
          <w:b w:val="0"/>
          <w:i/>
          <w:sz w:val="20"/>
        </w:rPr>
        <w:t>Teme de specializare: inteligență artificială și machine learning, programarea roboților, viziune artificială, automatizări industriale, mentenanța roboților. Cursurile de specializare se autorizează pe baza standardelor ocupaționale aferente; codurile COR se confirmă la autorizarea fiecărui program.</w:t>
      </w:r>
    </w:p>
    <w:p>
      <w:pPr>
        <w:spacing w:before="240" w:after="80"/>
      </w:pPr>
      <w:r>
        <w:rPr>
          <w:b/>
          <w:color w:val="0F6A37"/>
          <w:sz w:val="30"/>
        </w:rPr>
        <w:t>5. Modelul energetic: autoconsum ≥ 50% + vânzarea surplusului</w:t>
      </w:r>
    </w:p>
    <w:p>
      <w:pPr>
        <w:spacing w:after="120" w:before="0"/>
      </w:pPr>
      <w:r>
        <w:rPr>
          <w:b w:val="0"/>
          <w:i w:val="0"/>
          <w:sz w:val="22"/>
        </w:rPr>
        <w:t>Centrala fotovoltaică de 1 MW produce aproximativ 1.200.000 kWh/an. Activitatea de robotică și AI din hală asigură consumul intern, iar surplusul se vinde în rețea.</w:t>
      </w:r>
    </w:p>
    <w:p>
      <w:pPr>
        <w:spacing w:before="160" w:after="80"/>
      </w:pPr>
      <w:r>
        <w:rPr>
          <w:b/>
          <w:color w:val="0F6A37"/>
          <w:sz w:val="25"/>
        </w:rPr>
        <w:t>5.1. Defalcarea consumului propriu (țintă ≥ 50% = ~600.000 kWh/an)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6a37"/>
          </w:tcPr>
          <w:p>
            <w:r>
              <w:rPr>
                <w:b/>
                <w:color w:val="FFFFFF"/>
                <w:sz w:val="20"/>
              </w:rPr>
              <w:t>Consumator intern</w:t>
            </w:r>
          </w:p>
        </w:tc>
        <w:tc>
          <w:tcPr>
            <w:tcW w:type="dxa" w:w="2880"/>
            <w:shd w:fill="0f6a37"/>
          </w:tcPr>
          <w:p>
            <w:r>
              <w:rPr>
                <w:b/>
                <w:color w:val="FFFFFF"/>
                <w:sz w:val="20"/>
              </w:rPr>
              <w:t>Consum estimat (kWh/an)</w:t>
            </w:r>
          </w:p>
        </w:tc>
        <w:tc>
          <w:tcPr>
            <w:tcW w:type="dxa" w:w="2880"/>
            <w:shd w:fill="0f6a37"/>
          </w:tcPr>
          <w:p>
            <w:r>
              <w:rPr>
                <w:b/>
                <w:color w:val="FFFFFF"/>
                <w:sz w:val="20"/>
              </w:rPr>
              <w:t>Pondere</w:t>
            </w:r>
          </w:p>
        </w:tc>
      </w:tr>
      <w:tr>
        <w:tc>
          <w:tcPr>
            <w:tcW w:type="dxa" w:w="2880"/>
          </w:tcPr>
          <w:p>
            <w:r>
              <w:rPr>
                <w:sz w:val="20"/>
              </w:rPr>
              <w:t>Cluster AI / GPU + servere edge (antrenare, simulare, inferență)</w:t>
            </w:r>
          </w:p>
        </w:tc>
        <w:tc>
          <w:tcPr>
            <w:tcW w:type="dxa" w:w="2880"/>
          </w:tcPr>
          <w:p>
            <w:r>
              <w:rPr>
                <w:sz w:val="20"/>
              </w:rPr>
              <w:t>175.000</w:t>
            </w:r>
          </w:p>
        </w:tc>
        <w:tc>
          <w:tcPr>
            <w:tcW w:type="dxa" w:w="2880"/>
          </w:tcPr>
          <w:p>
            <w:r>
              <w:rPr>
                <w:sz w:val="20"/>
              </w:rPr>
              <w:t>~29%</w:t>
            </w:r>
          </w:p>
        </w:tc>
      </w:tr>
      <w:tr>
        <w:tc>
          <w:tcPr>
            <w:tcW w:type="dxa" w:w="2880"/>
          </w:tcPr>
          <w:p>
            <w:r>
              <w:rPr>
                <w:sz w:val="20"/>
              </w:rPr>
              <w:t>Linie asamblare &amp; integrare (CNC, imprimante 3D, sudură, roboți asamblare)</w:t>
            </w:r>
          </w:p>
        </w:tc>
        <w:tc>
          <w:tcPr>
            <w:tcW w:type="dxa" w:w="2880"/>
          </w:tcPr>
          <w:p>
            <w:r>
              <w:rPr>
                <w:sz w:val="20"/>
              </w:rPr>
              <w:t>150.000</w:t>
            </w:r>
          </w:p>
        </w:tc>
        <w:tc>
          <w:tcPr>
            <w:tcW w:type="dxa" w:w="2880"/>
          </w:tcPr>
          <w:p>
            <w:r>
              <w:rPr>
                <w:sz w:val="20"/>
              </w:rPr>
              <w:t>~25%</w:t>
            </w:r>
          </w:p>
        </w:tc>
      </w:tr>
      <w:tr>
        <w:tc>
          <w:tcPr>
            <w:tcW w:type="dxa" w:w="2880"/>
          </w:tcPr>
          <w:p>
            <w:r>
              <w:rPr>
                <w:sz w:val="20"/>
              </w:rPr>
              <w:t>Încărcare &amp; operare flotă roboți + testare baterii (burn-in)</w:t>
            </w:r>
          </w:p>
        </w:tc>
        <w:tc>
          <w:tcPr>
            <w:tcW w:type="dxa" w:w="2880"/>
          </w:tcPr>
          <w:p>
            <w:r>
              <w:rPr>
                <w:sz w:val="20"/>
              </w:rPr>
              <w:t>110.000</w:t>
            </w:r>
          </w:p>
        </w:tc>
        <w:tc>
          <w:tcPr>
            <w:tcW w:type="dxa" w:w="2880"/>
          </w:tcPr>
          <w:p>
            <w:r>
              <w:rPr>
                <w:sz w:val="20"/>
              </w:rPr>
              <w:t>~18%</w:t>
            </w:r>
          </w:p>
        </w:tc>
      </w:tr>
      <w:tr>
        <w:tc>
          <w:tcPr>
            <w:tcW w:type="dxa" w:w="2880"/>
          </w:tcPr>
          <w:p>
            <w:r>
              <w:rPr>
                <w:sz w:val="20"/>
              </w:rPr>
              <w:t>Climatizare și control mediu hală (HVAC, umiditate)</w:t>
            </w:r>
          </w:p>
        </w:tc>
        <w:tc>
          <w:tcPr>
            <w:tcW w:type="dxa" w:w="2880"/>
          </w:tcPr>
          <w:p>
            <w:r>
              <w:rPr>
                <w:sz w:val="20"/>
              </w:rPr>
              <w:t>100.000</w:t>
            </w:r>
          </w:p>
        </w:tc>
        <w:tc>
          <w:tcPr>
            <w:tcW w:type="dxa" w:w="2880"/>
          </w:tcPr>
          <w:p>
            <w:r>
              <w:rPr>
                <w:sz w:val="20"/>
              </w:rPr>
              <w:t>~17%</w:t>
            </w:r>
          </w:p>
        </w:tc>
      </w:tr>
      <w:tr>
        <w:tc>
          <w:tcPr>
            <w:tcW w:type="dxa" w:w="2880"/>
          </w:tcPr>
          <w:p>
            <w:r>
              <w:rPr>
                <w:sz w:val="20"/>
              </w:rPr>
              <w:t>Bancuri de test, QA, iluminat industrial, compresoare, scule</w:t>
            </w:r>
          </w:p>
        </w:tc>
        <w:tc>
          <w:tcPr>
            <w:tcW w:type="dxa" w:w="2880"/>
          </w:tcPr>
          <w:p>
            <w:r>
              <w:rPr>
                <w:sz w:val="20"/>
              </w:rPr>
              <w:t>65.000</w:t>
            </w:r>
          </w:p>
        </w:tc>
        <w:tc>
          <w:tcPr>
            <w:tcW w:type="dxa" w:w="2880"/>
          </w:tcPr>
          <w:p>
            <w:r>
              <w:rPr>
                <w:sz w:val="20"/>
              </w:rPr>
              <w:t>~11%</w:t>
            </w:r>
          </w:p>
        </w:tc>
      </w:tr>
      <w:tr>
        <w:tc>
          <w:tcPr>
            <w:tcW w:type="dxa" w:w="2880"/>
          </w:tcPr>
          <w:p>
            <w:r>
              <w:rPr>
                <w:b/>
                <w:sz w:val="20"/>
              </w:rPr>
              <w:t>TOTAL AUTOCONSUM</w:t>
            </w:r>
          </w:p>
        </w:tc>
        <w:tc>
          <w:tcPr>
            <w:tcW w:type="dxa" w:w="2880"/>
          </w:tcPr>
          <w:p>
            <w:r>
              <w:rPr>
                <w:b/>
                <w:sz w:val="20"/>
              </w:rPr>
              <w:t>600.000</w:t>
            </w:r>
          </w:p>
        </w:tc>
        <w:tc>
          <w:tcPr>
            <w:tcW w:type="dxa" w:w="2880"/>
          </w:tcPr>
          <w:p>
            <w:r>
              <w:rPr>
                <w:b/>
                <w:sz w:val="20"/>
              </w:rPr>
              <w:t>50%</w:t>
            </w:r>
          </w:p>
        </w:tc>
      </w:tr>
    </w:tbl>
    <w:p>
      <w:pPr>
        <w:spacing w:before="160" w:after="80"/>
      </w:pPr>
      <w:r>
        <w:rPr>
          <w:b/>
          <w:color w:val="0F6A37"/>
          <w:sz w:val="25"/>
        </w:rPr>
        <w:t>5.2. Valorificarea surplusului (~50% = ~600.000 kWh/an)</w:t>
      </w:r>
    </w:p>
    <w:p>
      <w:pPr>
        <w:spacing w:after="120" w:before="0"/>
      </w:pPr>
      <w:r>
        <w:rPr>
          <w:b w:val="0"/>
          <w:i w:val="0"/>
          <w:sz w:val="22"/>
        </w:rPr>
        <w:t>Energia neconsumată intern (aproximativ 600.000 kWh/an) se livrează în rețeaua națională, printr-un contract de vânzare încheiat cu un furnizor/trader de energie. Aceasta constituie activitatea secundară de valorificare a energiei (comercializare energie electrică).</w:t>
      </w:r>
    </w:p>
    <w:p>
      <w:pPr>
        <w:spacing w:after="120" w:before="0"/>
      </w:pPr>
      <w:r>
        <w:rPr>
          <w:b w:val="0"/>
          <w:i/>
          <w:color w:val="9A6A00"/>
          <w:sz w:val="20"/>
        </w:rPr>
        <w:t>Notă de conformitate: acest model corelează indicatorul de autoconsum de min. 50% asumat în proiect cu o activitate reală, cuantificată, care consumă energia, eliminând neconcordanța dintre autoconsumul declarat și vânzarea din modelul financiar inițial.</w:t>
      </w:r>
    </w:p>
    <w:p>
      <w:pPr>
        <w:spacing w:before="240" w:after="80"/>
      </w:pPr>
      <w:r>
        <w:rPr>
          <w:b/>
          <w:color w:val="0F6A37"/>
          <w:sz w:val="30"/>
        </w:rPr>
        <w:t>6. Piața și clienții</w:t>
      </w:r>
    </w:p>
    <w:p>
      <w:pPr>
        <w:pStyle w:val="ListBullet"/>
        <w:spacing w:after="60"/>
      </w:pPr>
      <w:r>
        <w:rPr>
          <w:b/>
          <w:sz w:val="22"/>
        </w:rPr>
        <w:t xml:space="preserve">Retail &amp; servicii: </w:t>
      </w:r>
      <w:r>
        <w:rPr>
          <w:sz w:val="22"/>
        </w:rPr>
        <w:t>magazine, HoReCa, centre comerciale – roboți casieri, de ghidare și informare</w:t>
      </w:r>
    </w:p>
    <w:p>
      <w:pPr>
        <w:pStyle w:val="ListBullet"/>
        <w:spacing w:after="60"/>
      </w:pPr>
      <w:r>
        <w:rPr>
          <w:b/>
          <w:sz w:val="22"/>
        </w:rPr>
        <w:t xml:space="preserve">Industrie: </w:t>
      </w:r>
      <w:r>
        <w:rPr>
          <w:sz w:val="22"/>
        </w:rPr>
        <w:t>manipulare, inspecție, logistică internă, mentenanță predictivă</w:t>
      </w:r>
    </w:p>
    <w:p>
      <w:pPr>
        <w:pStyle w:val="ListBullet"/>
        <w:spacing w:after="60"/>
      </w:pPr>
      <w:r>
        <w:rPr>
          <w:b/>
          <w:sz w:val="22"/>
        </w:rPr>
        <w:t xml:space="preserve">Agricultură: </w:t>
      </w:r>
      <w:r>
        <w:rPr>
          <w:sz w:val="22"/>
        </w:rPr>
        <w:t>monitorizare culturi și animale, inspecție, transport ușor pe teren</w:t>
      </w:r>
    </w:p>
    <w:p>
      <w:pPr>
        <w:pStyle w:val="ListBullet"/>
        <w:spacing w:after="60"/>
      </w:pPr>
      <w:r>
        <w:rPr>
          <w:b/>
          <w:sz w:val="22"/>
        </w:rPr>
        <w:t xml:space="preserve">Persoane &amp; instituții: </w:t>
      </w:r>
      <w:r>
        <w:rPr>
          <w:sz w:val="22"/>
        </w:rPr>
        <w:t>roboți companion și de asistență</w:t>
      </w:r>
    </w:p>
    <w:p>
      <w:pPr>
        <w:pStyle w:val="ListBullet"/>
        <w:spacing w:after="60"/>
      </w:pPr>
      <w:r>
        <w:rPr>
          <w:b/>
          <w:sz w:val="22"/>
        </w:rPr>
        <w:t xml:space="preserve">Educație: </w:t>
      </w:r>
      <w:r>
        <w:rPr>
          <w:sz w:val="22"/>
        </w:rPr>
        <w:t>programe de formare pentru companii și persoane fizice</w:t>
      </w:r>
    </w:p>
    <w:p>
      <w:pPr>
        <w:spacing w:before="240" w:after="80"/>
      </w:pPr>
      <w:r>
        <w:rPr>
          <w:b/>
          <w:color w:val="0F6A37"/>
          <w:sz w:val="30"/>
        </w:rPr>
        <w:t>7. Analiză SWOT</w:t>
      </w:r>
    </w:p>
    <w:tbl>
      <w:tblPr>
        <w:tblStyle w:val="TableGrid"/>
        <w:tblW w:type="auto" w:w="0"/>
        <w:jc w:val="center"/>
        <w:tblLook w:firstColumn="1" w:firstRow="1" w:lastColumn="0" w:lastRow="0" w:noHBand="0" w:noVBand="1" w:val="04A0"/>
      </w:tblPr>
      <w:tblGrid>
        <w:gridCol w:w="4320"/>
        <w:gridCol w:w="4320"/>
      </w:tblGrid>
      <w:tr>
        <w:tc>
          <w:tcPr>
            <w:tcW w:type="dxa" w:w="4320"/>
            <w:shd w:fill="0f6a37"/>
          </w:tcPr>
          <w:p>
            <w:r>
              <w:rPr>
                <w:b/>
                <w:color w:val="FFFFFF"/>
                <w:sz w:val="20"/>
              </w:rPr>
              <w:t>Puncte tari</w:t>
            </w:r>
          </w:p>
        </w:tc>
        <w:tc>
          <w:tcPr>
            <w:tcW w:type="dxa" w:w="4320"/>
            <w:shd w:fill="0f6a37"/>
          </w:tcPr>
          <w:p>
            <w:r>
              <w:rPr>
                <w:b/>
                <w:color w:val="FFFFFF"/>
                <w:sz w:val="20"/>
              </w:rPr>
              <w:t>Puncte slabe</w:t>
            </w:r>
          </w:p>
        </w:tc>
      </w:tr>
      <w:tr>
        <w:tc>
          <w:tcPr>
            <w:tcW w:type="dxa" w:w="4320"/>
          </w:tcPr>
          <w:p>
            <w:r>
              <w:rPr>
                <w:sz w:val="20"/>
              </w:rPr>
              <w:t>Energie proprie 100% verde (cost redus, imagine ESG); competențe IT existente</w:t>
            </w:r>
          </w:p>
        </w:tc>
        <w:tc>
          <w:tcPr>
            <w:tcW w:type="dxa" w:w="4320"/>
          </w:tcPr>
          <w:p>
            <w:r>
              <w:rPr>
                <w:sz w:val="20"/>
              </w:rPr>
              <w:t>Domeniu nou pentru companie; necesar de personal specializat</w:t>
            </w:r>
          </w:p>
        </w:tc>
      </w:tr>
    </w:tbl>
    <w:tbl>
      <w:tblPr>
        <w:tblStyle w:val="TableGrid"/>
        <w:tblW w:type="auto" w:w="0"/>
        <w:jc w:val="center"/>
        <w:tblLook w:firstColumn="1" w:firstRow="1" w:lastColumn="0" w:lastRow="0" w:noHBand="0" w:noVBand="1" w:val="04A0"/>
      </w:tblPr>
      <w:tblGrid>
        <w:gridCol w:w="4320"/>
        <w:gridCol w:w="4320"/>
      </w:tblGrid>
      <w:tr>
        <w:tc>
          <w:tcPr>
            <w:tcW w:type="dxa" w:w="4320"/>
            <w:shd w:fill="0f6a37"/>
          </w:tcPr>
          <w:p>
            <w:r>
              <w:rPr>
                <w:b/>
                <w:color w:val="FFFFFF"/>
                <w:sz w:val="20"/>
              </w:rPr>
              <w:t>Oportunități</w:t>
            </w:r>
          </w:p>
        </w:tc>
        <w:tc>
          <w:tcPr>
            <w:tcW w:type="dxa" w:w="4320"/>
            <w:shd w:fill="0f6a37"/>
          </w:tcPr>
          <w:p>
            <w:r>
              <w:rPr>
                <w:b/>
                <w:color w:val="FFFFFF"/>
                <w:sz w:val="20"/>
              </w:rPr>
              <w:t>Amenințări</w:t>
            </w:r>
          </w:p>
        </w:tc>
      </w:tr>
      <w:tr>
        <w:tc>
          <w:tcPr>
            <w:tcW w:type="dxa" w:w="4320"/>
          </w:tcPr>
          <w:p>
            <w:r>
              <w:rPr>
                <w:sz w:val="20"/>
              </w:rPr>
              <w:t>Creșterea rapidă a pieței de robotică &amp; AI; fonduri europene; cerere de automatizare</w:t>
            </w:r>
          </w:p>
        </w:tc>
        <w:tc>
          <w:tcPr>
            <w:tcW w:type="dxa" w:w="4320"/>
          </w:tcPr>
          <w:p>
            <w:r>
              <w:rPr>
                <w:sz w:val="20"/>
              </w:rPr>
              <w:t>Concurență internațională; evoluția rapidă a tehnologiei; fluctuația prețului energiei</w:t>
            </w:r>
          </w:p>
        </w:tc>
      </w:tr>
    </w:tbl>
    <w:p>
      <w:pPr>
        <w:spacing w:before="240" w:after="80"/>
      </w:pPr>
      <w:r>
        <w:rPr>
          <w:b/>
          <w:color w:val="0F6A37"/>
          <w:sz w:val="30"/>
        </w:rPr>
        <w:t>8. Plan financiar (estimări)</w:t>
      </w:r>
    </w:p>
    <w:p>
      <w:pPr>
        <w:spacing w:after="120" w:before="0"/>
      </w:pPr>
      <w:r>
        <w:rPr>
          <w:b w:val="0"/>
          <w:i w:val="0"/>
          <w:sz w:val="22"/>
        </w:rPr>
        <w:t>Estimările au caracter orientativ și se vor detalia în proiecțiile financiare anuale.</w:t>
      </w:r>
    </w:p>
    <w:tbl>
      <w:tblPr>
        <w:tblStyle w:val="TableGrid"/>
        <w:tblW w:type="auto" w:w="0"/>
        <w:jc w:val="center"/>
        <w:tblLook w:firstColumn="1" w:firstRow="1" w:lastColumn="0" w:lastRow="0" w:noHBand="0" w:noVBand="1" w:val="04A0"/>
      </w:tblPr>
      <w:tblGrid>
        <w:gridCol w:w="4320"/>
        <w:gridCol w:w="4320"/>
      </w:tblGrid>
      <w:tr>
        <w:tc>
          <w:tcPr>
            <w:tcW w:type="dxa" w:w="4320"/>
            <w:shd w:fill="0f6a37"/>
          </w:tcPr>
          <w:p>
            <w:r>
              <w:rPr>
                <w:b/>
                <w:color w:val="FFFFFF"/>
                <w:sz w:val="20"/>
              </w:rPr>
              <w:t>Sursă de venit / beneficiu</w:t>
            </w:r>
          </w:p>
        </w:tc>
        <w:tc>
          <w:tcPr>
            <w:tcW w:type="dxa" w:w="4320"/>
            <w:shd w:fill="0f6a37"/>
          </w:tcPr>
          <w:p>
            <w:r>
              <w:rPr>
                <w:b/>
                <w:color w:val="FFFFFF"/>
                <w:sz w:val="20"/>
              </w:rPr>
              <w:t>Estimare anuală</w:t>
            </w:r>
          </w:p>
        </w:tc>
      </w:tr>
      <w:tr>
        <w:tc>
          <w:tcPr>
            <w:tcW w:type="dxa" w:w="4320"/>
          </w:tcPr>
          <w:p>
            <w:r>
              <w:rPr>
                <w:sz w:val="20"/>
              </w:rPr>
              <w:t>Vânzări online roboți și componente</w:t>
            </w:r>
          </w:p>
        </w:tc>
        <w:tc>
          <w:tcPr>
            <w:tcW w:type="dxa" w:w="4320"/>
          </w:tcPr>
          <w:p>
            <w:r>
              <w:rPr>
                <w:sz w:val="20"/>
              </w:rPr>
              <w:t>de detaliat pe volume</w:t>
            </w:r>
          </w:p>
        </w:tc>
      </w:tr>
      <w:tr>
        <w:tc>
          <w:tcPr>
            <w:tcW w:type="dxa" w:w="4320"/>
          </w:tcPr>
          <w:p>
            <w:r>
              <w:rPr>
                <w:sz w:val="20"/>
              </w:rPr>
              <w:t>Consultanță IT &amp; deployment roboți</w:t>
            </w:r>
          </w:p>
        </w:tc>
        <w:tc>
          <w:tcPr>
            <w:tcW w:type="dxa" w:w="4320"/>
          </w:tcPr>
          <w:p>
            <w:r>
              <w:rPr>
                <w:sz w:val="20"/>
              </w:rPr>
              <w:t>de detaliat pe contracte</w:t>
            </w:r>
          </w:p>
        </w:tc>
      </w:tr>
      <w:tr>
        <w:tc>
          <w:tcPr>
            <w:tcW w:type="dxa" w:w="4320"/>
          </w:tcPr>
          <w:p>
            <w:r>
              <w:rPr>
                <w:sz w:val="20"/>
              </w:rPr>
              <w:t>Formare profesională</w:t>
            </w:r>
          </w:p>
        </w:tc>
        <w:tc>
          <w:tcPr>
            <w:tcW w:type="dxa" w:w="4320"/>
          </w:tcPr>
          <w:p>
            <w:r>
              <w:rPr>
                <w:sz w:val="20"/>
              </w:rPr>
              <w:t>de detaliat pe grupe/cursanți</w:t>
            </w:r>
          </w:p>
        </w:tc>
      </w:tr>
      <w:tr>
        <w:tc>
          <w:tcPr>
            <w:tcW w:type="dxa" w:w="4320"/>
          </w:tcPr>
          <w:p>
            <w:r>
              <w:rPr>
                <w:sz w:val="20"/>
              </w:rPr>
              <w:t>Vânzarea surplusului de energie (~600.000 kWh × ~0,5 lei/kWh)</w:t>
            </w:r>
          </w:p>
        </w:tc>
        <w:tc>
          <w:tcPr>
            <w:tcW w:type="dxa" w:w="4320"/>
          </w:tcPr>
          <w:p>
            <w:r>
              <w:rPr>
                <w:sz w:val="20"/>
              </w:rPr>
              <w:t>~300.000 lei/an</w:t>
            </w:r>
          </w:p>
        </w:tc>
      </w:tr>
      <w:tr>
        <w:tc>
          <w:tcPr>
            <w:tcW w:type="dxa" w:w="4320"/>
          </w:tcPr>
          <w:p>
            <w:r>
              <w:rPr>
                <w:sz w:val="20"/>
              </w:rPr>
              <w:t>Economie din autoconsum (~600.000 kWh energie neachiziționată din rețea)</w:t>
            </w:r>
          </w:p>
        </w:tc>
        <w:tc>
          <w:tcPr>
            <w:tcW w:type="dxa" w:w="4320"/>
          </w:tcPr>
          <w:p>
            <w:r>
              <w:rPr>
                <w:sz w:val="20"/>
              </w:rPr>
              <w:t>~600.000 lei/an (la ~1,0 lei/kWh evitat)</w:t>
            </w:r>
          </w:p>
        </w:tc>
      </w:tr>
    </w:tbl>
    <w:p>
      <w:pPr>
        <w:spacing w:after="120" w:before="80"/>
      </w:pPr>
      <w:r>
        <w:rPr>
          <w:b/>
          <w:i w:val="0"/>
          <w:sz w:val="22"/>
        </w:rPr>
        <w:t>Beneficiul energetic total (venit din vânzare + economie din autoconsum) este estimat la aproximativ 900.000 lei/an, la care se adaugă veniturile din robotică, consultanță și formare.</w:t>
      </w:r>
    </w:p>
    <w:p>
      <w:pPr>
        <w:spacing w:before="240" w:after="80"/>
      </w:pPr>
      <w:r>
        <w:rPr>
          <w:b/>
          <w:color w:val="0F6A37"/>
          <w:sz w:val="30"/>
        </w:rPr>
        <w:t>9. Plan de implementare (roadmap)</w:t>
      </w:r>
    </w:p>
    <w:tbl>
      <w:tblPr>
        <w:tblStyle w:val="TableGrid"/>
        <w:tblW w:type="auto" w:w="0"/>
        <w:jc w:val="center"/>
        <w:tblLook w:firstColumn="1" w:firstRow="1" w:lastColumn="0" w:lastRow="0" w:noHBand="0" w:noVBand="1" w:val="04A0"/>
      </w:tblPr>
      <w:tblGrid>
        <w:gridCol w:w="4320"/>
        <w:gridCol w:w="4320"/>
      </w:tblGrid>
      <w:tr>
        <w:tc>
          <w:tcPr>
            <w:tcW w:type="dxa" w:w="4320"/>
            <w:shd w:fill="0f6a37"/>
          </w:tcPr>
          <w:p>
            <w:r>
              <w:rPr>
                <w:b/>
                <w:color w:val="FFFFFF"/>
                <w:sz w:val="20"/>
              </w:rPr>
              <w:t>Etapă</w:t>
            </w:r>
          </w:p>
        </w:tc>
        <w:tc>
          <w:tcPr>
            <w:tcW w:type="dxa" w:w="4320"/>
            <w:shd w:fill="0f6a37"/>
          </w:tcPr>
          <w:p>
            <w:r>
              <w:rPr>
                <w:b/>
                <w:color w:val="FFFFFF"/>
                <w:sz w:val="20"/>
              </w:rPr>
              <w:t>Activități</w:t>
            </w:r>
          </w:p>
        </w:tc>
      </w:tr>
      <w:tr>
        <w:tc>
          <w:tcPr>
            <w:tcW w:type="dxa" w:w="4320"/>
          </w:tcPr>
          <w:p>
            <w:r>
              <w:rPr>
                <w:sz w:val="20"/>
              </w:rPr>
              <w:t>T1</w:t>
            </w:r>
          </w:p>
        </w:tc>
        <w:tc>
          <w:tcPr>
            <w:tcW w:type="dxa" w:w="4320"/>
          </w:tcPr>
          <w:p>
            <w:r>
              <w:rPr>
                <w:sz w:val="20"/>
              </w:rPr>
              <w:t>Punerea în funcțiune a centralei FV; amenajarea halei; racordare</w:t>
            </w:r>
          </w:p>
        </w:tc>
      </w:tr>
      <w:tr>
        <w:tc>
          <w:tcPr>
            <w:tcW w:type="dxa" w:w="4320"/>
          </w:tcPr>
          <w:p>
            <w:r>
              <w:rPr>
                <w:sz w:val="20"/>
              </w:rPr>
              <w:t>T2</w:t>
            </w:r>
          </w:p>
        </w:tc>
        <w:tc>
          <w:tcPr>
            <w:tcW w:type="dxa" w:w="4320"/>
          </w:tcPr>
          <w:p>
            <w:r>
              <w:rPr>
                <w:sz w:val="20"/>
              </w:rPr>
              <w:t>Instalarea liniei de integrare, a laboratorului AI și a stațiilor de încărcare</w:t>
            </w:r>
          </w:p>
        </w:tc>
      </w:tr>
      <w:tr>
        <w:tc>
          <w:tcPr>
            <w:tcW w:type="dxa" w:w="4320"/>
          </w:tcPr>
          <w:p>
            <w:r>
              <w:rPr>
                <w:sz w:val="20"/>
              </w:rPr>
              <w:t>T3</w:t>
            </w:r>
          </w:p>
        </w:tc>
        <w:tc>
          <w:tcPr>
            <w:tcW w:type="dxa" w:w="4320"/>
          </w:tcPr>
          <w:p>
            <w:r>
              <w:rPr>
                <w:sz w:val="20"/>
              </w:rPr>
              <w:t>Lansarea vânzărilor online și a primelor contracte de consultanță/deployment</w:t>
            </w:r>
          </w:p>
        </w:tc>
      </w:tr>
      <w:tr>
        <w:tc>
          <w:tcPr>
            <w:tcW w:type="dxa" w:w="4320"/>
          </w:tcPr>
          <w:p>
            <w:r>
              <w:rPr>
                <w:sz w:val="20"/>
              </w:rPr>
              <w:t>T4</w:t>
            </w:r>
          </w:p>
        </w:tc>
        <w:tc>
          <w:tcPr>
            <w:tcW w:type="dxa" w:w="4320"/>
          </w:tcPr>
          <w:p>
            <w:r>
              <w:rPr>
                <w:sz w:val="20"/>
              </w:rPr>
              <w:t>Autorizarea și lansarea cursurilor de specializare; optimizarea autoconsumului</w:t>
            </w:r>
          </w:p>
        </w:tc>
      </w:tr>
    </w:tbl>
    <w:p>
      <w:pPr>
        <w:spacing w:before="240" w:after="80"/>
      </w:pPr>
      <w:r>
        <w:rPr>
          <w:b/>
          <w:color w:val="0F6A37"/>
          <w:sz w:val="30"/>
        </w:rPr>
        <w:t>10. Echipa</w:t>
      </w:r>
    </w:p>
    <w:p>
      <w:pPr>
        <w:pStyle w:val="ListBullet"/>
        <w:spacing w:after="60"/>
      </w:pPr>
      <w:r>
        <w:rPr>
          <w:b/>
          <w:sz w:val="22"/>
        </w:rPr>
        <w:t xml:space="preserve">Roș Radu-Ioan: </w:t>
      </w:r>
      <w:r>
        <w:rPr>
          <w:sz w:val="22"/>
        </w:rPr>
        <w:t>administrator, coordonare generală și tehnică</w:t>
      </w:r>
    </w:p>
    <w:p>
      <w:pPr>
        <w:pStyle w:val="ListBullet"/>
        <w:spacing w:after="60"/>
      </w:pPr>
      <w:r>
        <w:rPr>
          <w:b/>
          <w:sz w:val="22"/>
        </w:rPr>
        <w:t xml:space="preserve">Koncz Erika-Monika: </w:t>
      </w:r>
      <w:r>
        <w:rPr>
          <w:sz w:val="22"/>
        </w:rPr>
        <w:t>responsabil financiar și achiziții</w:t>
      </w:r>
    </w:p>
    <w:p>
      <w:pPr>
        <w:pStyle w:val="ListBullet"/>
        <w:spacing w:after="60"/>
      </w:pPr>
      <w:r>
        <w:rPr>
          <w:b/>
          <w:sz w:val="22"/>
        </w:rPr>
        <w:t xml:space="preserve">Szőke Hajnalka-Andrea: </w:t>
      </w:r>
      <w:r>
        <w:rPr>
          <w:sz w:val="22"/>
        </w:rPr>
        <w:t>responsabil SSM, DNSH și resurse umane</w:t>
      </w:r>
    </w:p>
    <w:p>
      <w:pPr>
        <w:spacing w:after="120" w:before="0"/>
      </w:pPr>
      <w:r>
        <w:rPr>
          <w:b w:val="0"/>
          <w:i/>
          <w:sz w:val="20"/>
        </w:rPr>
        <w:t>Echipa se completează cu specialiști în robotică, AI și automatizări, pe măsura dezvoltării activității.</w:t>
      </w:r>
    </w:p>
    <w:p>
      <w:pPr>
        <w:spacing w:before="240" w:after="80"/>
      </w:pPr>
      <w:r>
        <w:rPr>
          <w:b/>
          <w:color w:val="0F6A37"/>
          <w:sz w:val="30"/>
        </w:rPr>
        <w:t>11. Corelarea cu proiectul finanțat prin Fondul pentru Modernizare</w:t>
      </w:r>
    </w:p>
    <w:p>
      <w:pPr>
        <w:pStyle w:val="ListBullet"/>
        <w:spacing w:after="60"/>
      </w:pPr>
      <w:r>
        <w:rPr>
          <w:sz w:val="22"/>
        </w:rPr>
        <w:t>Activitatea de robotică &amp; AI reprezintă consumatorul care justifică indicatorul de autoconsum de min. 50%;</w:t>
      </w:r>
    </w:p>
    <w:p>
      <w:pPr>
        <w:pStyle w:val="ListBullet"/>
        <w:spacing w:after="60"/>
      </w:pPr>
      <w:r>
        <w:rPr>
          <w:sz w:val="22"/>
        </w:rPr>
        <w:t>Surplusul de energie se valorifică prin vânzare, în linie cu modelul financiar al proiectului;</w:t>
      </w:r>
    </w:p>
    <w:p>
      <w:pPr>
        <w:pStyle w:val="ListBullet"/>
        <w:spacing w:after="60"/>
      </w:pPr>
      <w:r>
        <w:rPr>
          <w:sz w:val="22"/>
        </w:rPr>
        <w:t>Se menține producția de energie verde și reducerea emisiilor de CO₂ asumate (~1.500 t/an);</w:t>
      </w:r>
    </w:p>
    <w:p>
      <w:pPr>
        <w:pStyle w:val="ListBullet"/>
        <w:spacing w:after="60"/>
      </w:pPr>
      <w:r>
        <w:rPr>
          <w:sz w:val="22"/>
        </w:rPr>
        <w:t>Se respectă perioada de durabilitate de 5 ani și obligațiile de monitorizare și raportare.</w:t>
      </w:r>
    </w:p>
    <w:p>
      <w:pPr>
        <w:spacing w:after="120" w:before="0"/>
      </w:pPr>
      <w:r>
        <w:rPr>
          <w:b w:val="0"/>
          <w:i w:val="0"/>
          <w:sz w:val="22"/>
        </w:rPr>
      </w:r>
    </w:p>
    <w:p>
      <w:pPr>
        <w:spacing w:after="120" w:before="320"/>
      </w:pPr>
      <w:r>
        <w:rPr>
          <w:b/>
          <w:i w:val="0"/>
          <w:sz w:val="22"/>
        </w:rPr>
        <w:t>Administrator, Roș Radu-Ioan</w:t>
      </w:r>
    </w:p>
    <w:p>
      <w:pPr>
        <w:spacing w:after="120" w:before="0"/>
      </w:pPr>
      <w:r>
        <w:rPr>
          <w:b w:val="0"/>
          <w:i w:val="0"/>
          <w:sz w:val="20"/>
        </w:rPr>
        <w:t>S.C. RED INTERNET SALES S.R.L.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