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  <w:jc w:val="center"/>
      </w:pPr>
      <w:r>
        <w:rPr>
          <w:b/>
          <w:bCs/>
          <w:color w:val="1F3864"/>
          <w:sz w:val="30"/>
          <w:szCs w:val="30"/>
        </w:rPr>
        <w:t xml:space="preserve">SRM DESIGN SRL — Istoric și infrastructură</w:t>
      </w:r>
    </w:p>
    <w:p>
      <w:pPr>
        <w:spacing w:after="150"/>
        <w:jc w:val="center"/>
      </w:pPr>
      <w:r>
        <w:rPr>
          <w:i/>
          <w:iCs/>
          <w:color w:val="595959"/>
          <w:sz w:val="20"/>
          <w:szCs w:val="20"/>
        </w:rPr>
        <w:t xml:space="preserve">Partea I, secțiunile B.1–B.3 din planul de afaceri · draft realist, de verificat de solicitant</w:t>
      </w:r>
    </w:p>
    <w:p>
      <w:pPr>
        <w:pBdr>
          <w:bottom w:val="single" w:color="D9D9D9" w:sz="6"/>
        </w:pBdr>
        <w:spacing w:after="120"/>
      </w:pPr>
    </w:p>
    <w:p>
      <w:pPr>
        <w:shd w:fill="FFF7E6" w:color="auto" w:val="clear"/>
        <w:spacing w:before="60" w:after="110" w:line="274"/>
      </w:pPr>
      <w:r>
        <w:rPr>
          <w:color w:val="B45309"/>
          <w:sz w:val="20"/>
          <w:szCs w:val="20"/>
        </w:rPr>
        <w:t xml:space="preserve">Textul de mai jos folosește DOAR fapte confirmate din ONRC și din situațiile financiare depuse. Elementele specifice care trebuie completate cu date reale (proiecte, clienți, echipamente, licențe) sunt marcate [DE CONFIRMAT] — nu au fost inventate. Cifrele financiare se prezintă exact ca în bilanțuri.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6"/>
          <w:szCs w:val="26"/>
        </w:rPr>
        <w:t xml:space="preserve">B.1 Istoricul activității</w:t>
      </w:r>
    </w:p>
    <w:p>
      <w:pPr>
        <w:spacing w:after="110" w:line="280"/>
      </w:pPr>
      <w:r>
        <w:rPr>
          <w:sz w:val="21"/>
          <w:szCs w:val="21"/>
        </w:rPr>
        <w:t xml:space="preserve">SRM DESIGN SRL a fost înființată la 20 decembrie 2022, în Alba Iulia, ca firmă de proiectare și servicii tehnice. Încă de la constituire, activitatea a îmbinat trei competențe complementare: design (CAEN 7412), inginerie și consultanță tehnică (7112) și realizarea de software (6210) — o combinație care așază firma la intersecția dintre proiectare, tehnică și digital.</w:t>
      </w:r>
    </w:p>
    <w:p>
      <w:pPr>
        <w:spacing w:after="110" w:line="280"/>
      </w:pPr>
      <w:r>
        <w:rPr>
          <w:sz w:val="21"/>
          <w:szCs w:val="21"/>
        </w:rPr>
        <w:t xml:space="preserve">În primii ani de funcționare, firma a lucrat pe bază de proiecte, oferind servicii de proiectare, vizualizare tehnică și dezvoltare de aplicații. Ca orice întreprindere tânără de servicii, a parcurs o etapă de consolidare, cu o cifră de afaceri modestă și fluctuantă, reinvestind în capacitatea proprie — instrumente de lucru, software și dezvoltarea competențelor echipei. Evoluția cifrei de afaceri reflectă acest parcurs de început: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3400"/>
        <w:gridCol w:w="3260"/>
        <w:gridCol w:w="3260"/>
      </w:tblGrid>
      <w:tr>
        <w:tc>
          <w:tcPr>
            <w:tcW w:type="dxa" w:w="3400"/>
            <w:shd w:fill="1F3864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Exercițiu financiar</w:t>
            </w:r>
          </w:p>
        </w:tc>
        <w:tc>
          <w:tcPr>
            <w:tcW w:type="dxa" w:w="3260"/>
            <w:shd w:fill="1F3864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Cifra de afaceri netă</w:t>
            </w:r>
          </w:p>
        </w:tc>
        <w:tc>
          <w:tcPr>
            <w:tcW w:type="dxa" w:w="3260"/>
            <w:shd w:fill="1F3864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Rezultatul exercițiului</w:t>
            </w:r>
          </w:p>
        </w:tc>
      </w:tr>
      <w:tr>
        <w:tc>
          <w:tcPr>
            <w:tcW w:type="dxa" w:w="340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326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52.691 lei</w:t>
            </w:r>
          </w:p>
        </w:tc>
        <w:tc>
          <w:tcPr>
            <w:tcW w:type="dxa" w:w="326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pierdere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3260"/>
            <w:shd w:fill="F2F5FA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64.087 lei</w:t>
            </w:r>
          </w:p>
        </w:tc>
        <w:tc>
          <w:tcPr>
            <w:tcW w:type="dxa" w:w="3260"/>
            <w:shd w:fill="F2F5FA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pierdere (−27.793 lei)</w:t>
            </w:r>
          </w:p>
        </w:tc>
      </w:tr>
      <w:tr>
        <w:tc>
          <w:tcPr>
            <w:tcW w:type="dxa" w:w="340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326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32.156 lei</w:t>
            </w:r>
          </w:p>
        </w:tc>
        <w:tc>
          <w:tcPr>
            <w:tcW w:type="dxa" w:w="326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profit (+17.940 lei)</w:t>
            </w:r>
          </w:p>
        </w:tc>
      </w:tr>
    </w:tbl>
    <w:p>
      <w:pPr>
        <w:spacing w:after="110" w:line="280"/>
      </w:pPr>
      <w:r>
        <w:rPr>
          <w:sz w:val="21"/>
          <w:szCs w:val="21"/>
        </w:rPr>
        <w:t xml:space="preserve">Anul 2025 marchează revenirea pe profit din exploatare (+17.313 lei) — un semnal de stabilizare și de maturizare a modelului de lucru, chiar dacă la o scară încă mică.</w:t>
      </w:r>
    </w:p>
    <w:p>
      <w:pPr>
        <w:spacing w:after="110" w:line="280"/>
      </w:pPr>
      <w:r>
        <w:rPr>
          <w:sz w:val="21"/>
          <w:szCs w:val="21"/>
        </w:rPr>
        <w:t xml:space="preserve">Din 2025, sub conducerea asociatului unic și administrator Neamțiu Toader-Florin, firma și-a definit o direcție strategică clară: trecerea de la servicii de proiectare către dezvoltarea de produs propriu, în zona roboticii inteligente și a inteligenței artificiale aplicate. Această orientare nu este o ruptură, ci o valorificare firească a bazei existente — proiectare tehnică plus software — către un produs cu valoare adăugată mult mai mare și cu potențial de scalare.</w:t>
      </w:r>
    </w:p>
    <w:p>
      <w:pPr>
        <w:spacing w:after="110" w:line="280"/>
      </w:pPr>
      <w:r>
        <w:rPr>
          <w:sz w:val="21"/>
          <w:szCs w:val="21"/>
        </w:rPr>
        <w:t xml:space="preserve">Proiectul EVA-Agri reprezintă pasul care transformă această ambiție într-un produs concret: primul produs propriu al firmei, un robot autonom de recoltare pentru ferme indoor, cu potențial de comercializare pe o piață europeană în creștere. Este saltul deliberat al unei firme mici, dar ambițioase, de la prestator de servicii la dezvoltator de tehnologie proprie.</w:t>
      </w:r>
    </w:p>
    <w:p>
      <w:pPr>
        <w:spacing w:after="70" w:line="272"/>
      </w:pPr>
      <w:r>
        <w:rPr>
          <w:b/>
          <w:bCs/>
          <w:color w:val="B45309"/>
          <w:sz w:val="18"/>
          <w:szCs w:val="18"/>
        </w:rPr>
        <w:t xml:space="preserve">[ DE CONFIRMAT ] </w:t>
      </w:r>
      <w:r>
        <w:rPr>
          <w:i/>
          <w:iCs/>
          <w:color w:val="B45309"/>
          <w:sz w:val="18"/>
          <w:szCs w:val="18"/>
        </w:rPr>
        <w:t xml:space="preserve">Proiecte concrete livrate până în prezent (denumire, tip, an), clienți de referință și eventuale colaborări — de listat cele reale, ca dovadă a experienței de proiectare/software.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6"/>
          <w:szCs w:val="26"/>
        </w:rPr>
        <w:t xml:space="preserve">B.2 Infrastructura tehnică existentă</w:t>
      </w:r>
    </w:p>
    <w:p>
      <w:pPr>
        <w:spacing w:after="110" w:line="280"/>
      </w:pPr>
      <w:r>
        <w:rPr>
          <w:sz w:val="21"/>
          <w:szCs w:val="21"/>
        </w:rPr>
        <w:t xml:space="preserve">Firma dispune de o bază tehnică orientată pe proiectare și dezvoltare software, pe care proiectul o extinde substanțial: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b/>
          <w:bCs/>
          <w:sz w:val="21"/>
          <w:szCs w:val="21"/>
        </w:rPr>
        <w:t xml:space="preserve">Sediu și spațiu de lucru </w:t>
      </w:r>
      <w:r>
        <w:rPr>
          <w:sz w:val="21"/>
          <w:szCs w:val="21"/>
        </w:rPr>
        <w:t xml:space="preserve">— sediul social în Alba Iulia, B-dul Transilvaniei nr. 29A; locația de implementare a proiectului în Str. Emil Racoviță nr. 9, asigurată prin contract de comodat pe 10 ani.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b/>
          <w:bCs/>
          <w:sz w:val="21"/>
          <w:szCs w:val="21"/>
        </w:rPr>
        <w:t xml:space="preserve">Stații de lucru de proiectare </w:t>
      </w:r>
      <w:r>
        <w:rPr>
          <w:sz w:val="21"/>
          <w:szCs w:val="21"/>
        </w:rPr>
        <w:t xml:space="preserve">— echipamente de proiectare tehnică și grafică. [DE CONFIRMAT: număr, configurație.]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b/>
          <w:bCs/>
          <w:sz w:val="21"/>
          <w:szCs w:val="21"/>
        </w:rPr>
        <w:t xml:space="preserve">Licențe software </w:t>
      </w:r>
      <w:r>
        <w:rPr>
          <w:sz w:val="21"/>
          <w:szCs w:val="21"/>
        </w:rPr>
        <w:t xml:space="preserve">— instrumente de proiectare (CAD) și de dezvoltare software. [DE CONFIRMAT: ce licențe deține firma.]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b/>
          <w:bCs/>
          <w:sz w:val="21"/>
          <w:szCs w:val="21"/>
        </w:rPr>
        <w:t xml:space="preserve">Cont bancar operațional </w:t>
      </w:r>
      <w:r>
        <w:rPr>
          <w:sz w:val="21"/>
          <w:szCs w:val="21"/>
        </w:rPr>
        <w:t xml:space="preserve">— la BCR, funcțional.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b/>
          <w:bCs/>
          <w:sz w:val="21"/>
          <w:szCs w:val="21"/>
        </w:rPr>
        <w:t xml:space="preserve">Competențe interne </w:t>
      </w:r>
      <w:r>
        <w:rPr>
          <w:sz w:val="21"/>
          <w:szCs w:val="21"/>
        </w:rPr>
        <w:t xml:space="preserve">— proiectare tehnică, dezvoltare software și inginerie; baza pe care se construiește echipa de robotică a proiectului.</w:t>
      </w:r>
    </w:p>
    <w:p>
      <w:pPr>
        <w:spacing w:after="70" w:line="272"/>
      </w:pPr>
      <w:r>
        <w:rPr>
          <w:b/>
          <w:bCs/>
          <w:color w:val="B45309"/>
          <w:sz w:val="18"/>
          <w:szCs w:val="18"/>
        </w:rPr>
        <w:t xml:space="preserve">[ DE CONFIRMAT ] </w:t>
      </w:r>
      <w:r>
        <w:rPr>
          <w:i/>
          <w:iCs/>
          <w:color w:val="B45309"/>
          <w:sz w:val="18"/>
          <w:szCs w:val="18"/>
        </w:rPr>
        <w:t xml:space="preserve">Acces la resurse tehnice de robotică și AI (medii de simulare, seturi de date, documentație, componente de prototipare) — de precizat ce este disponibil firmei și în ce condiții.</w:t>
      </w:r>
    </w:p>
    <w:p>
      <w:pPr>
        <w:spacing w:after="110" w:line="280"/>
      </w:pPr>
      <w:r>
        <w:rPr>
          <w:sz w:val="21"/>
          <w:szCs w:val="21"/>
        </w:rPr>
        <w:t xml:space="preserve">Prin proiectul EVA-Agri, infrastructura se extinde de la un profil de servicii la unul de dezvoltare de produs: echipamente de calcul pentru inteligență artificială, senzori și componente de prototipare robotică și — cel mai important — o echipă tehnică dedicată de patru specialiști. Practic, proiectul construiește capacitatea de dezvoltare de produs a firmei, nu doar produsul în sine.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6"/>
          <w:szCs w:val="26"/>
        </w:rPr>
        <w:t xml:space="preserve">B.3 Servicii actuale · puncte forte și puncte slabe</w:t>
      </w:r>
    </w:p>
    <w:p>
      <w:pPr>
        <w:spacing w:after="90" w:line="280"/>
      </w:pPr>
      <w:r>
        <w:rPr>
          <w:sz w:val="21"/>
          <w:szCs w:val="21"/>
        </w:rPr>
        <w:t xml:space="preserve">Gama actuală de servicii: proiectare și design tehnic, vizualizare, dezvoltare de aplicații software. Competențele relevante pentru proiect — proiectare și software — sunt transferabile direct către dezvoltarea produsului robotic.</w:t>
      </w:r>
    </w:p>
    <w:tbl>
      <w:tblPr>
        <w:tblW w:type="dxa" w:w="992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D9D9D9" w:sz="2"/>
          <w:insideV w:val="single" w:color="D9D9D9" w:sz="2"/>
        </w:tblBorders>
      </w:tblPr>
      <w:tblGrid>
        <w:gridCol w:w="4900"/>
        <w:gridCol w:w="5020"/>
      </w:tblGrid>
      <w:tr>
        <w:tc>
          <w:tcPr>
            <w:tcW w:type="dxa" w:w="4900"/>
            <w:shd w:fill="1F3864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Puncte forte</w:t>
            </w:r>
          </w:p>
        </w:tc>
        <w:tc>
          <w:tcPr>
            <w:tcW w:type="dxa" w:w="5020"/>
            <w:shd w:fill="1F3864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Puncte slabe (adresate prin proiect)</w:t>
            </w:r>
          </w:p>
        </w:tc>
      </w:tr>
      <w:tr>
        <w:tc>
          <w:tcPr>
            <w:tcW w:type="dxa" w:w="490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Competențe combinate: proiectare + inginerie + software</w:t>
            </w:r>
          </w:p>
        </w:tc>
        <w:tc>
          <w:tcPr>
            <w:tcW w:type="dxa" w:w="502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Firmă tânără, cu resurse financiare limitate → adresat prin grant + recapitalizare</w:t>
            </w:r>
          </w:p>
        </w:tc>
      </w:tr>
      <w:tr>
        <w:tc>
          <w:tcPr>
            <w:tcW w:type="dxa" w:w="4900"/>
            <w:shd w:fill="F2F5FA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Structură agilă, decizie rapidă (asociat unic)</w:t>
            </w:r>
          </w:p>
        </w:tc>
        <w:tc>
          <w:tcPr>
            <w:tcW w:type="dxa" w:w="5020"/>
            <w:shd w:fill="F2F5FA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Fără linie de dezvoltare de produs proprie până acum → creată prin proiect</w:t>
            </w:r>
          </w:p>
        </w:tc>
      </w:tr>
      <w:tr>
        <w:tc>
          <w:tcPr>
            <w:tcW w:type="dxa" w:w="490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Direcție strategică clară spre robotică/AI</w:t>
            </w:r>
          </w:p>
        </w:tc>
        <w:tc>
          <w:tcPr>
            <w:tcW w:type="dxa" w:w="5020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Echipă tehnică de robotică restrânsă → completată cu 4 experți în proiect</w:t>
            </w:r>
          </w:p>
        </w:tc>
      </w:tr>
      <w:tr>
        <w:tc>
          <w:tcPr>
            <w:tcW w:type="dxa" w:w="4900"/>
            <w:shd w:fill="F2F5FA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Revenire pe profit din exploatare în 2025</w:t>
            </w:r>
          </w:p>
        </w:tc>
        <w:tc>
          <w:tcPr>
            <w:tcW w:type="dxa" w:w="5020"/>
            <w:shd w:fill="F2F5FA" w:color="auto" w:val="clear"/>
            <w:tcMar>
              <w:top w:type="dxa" w:w="32"/>
              <w:left w:type="dxa" w:w="80"/>
              <w:bottom w:type="dxa" w:w="32"/>
              <w:right w:type="dxa" w:w="80"/>
            </w:tcMar>
          </w:tcPr>
          <w:p>
            <w:pPr>
              <w:spacing w:after="16" w:line="246"/>
            </w:pPr>
            <w:r>
              <w:rPr>
                <w:sz w:val="19"/>
                <w:szCs w:val="19"/>
              </w:rPr>
              <w:t xml:space="preserve">Notorietate de piață redusă → construită prin go-to-market și pilot</w:t>
            </w:r>
          </w:p>
        </w:tc>
      </w:tr>
    </w:tbl>
    <w:p>
      <w:pPr>
        <w:shd w:fill="E8F3E8" w:color="auto" w:val="clear"/>
        <w:spacing w:before="60" w:after="110" w:line="274"/>
      </w:pPr>
      <w:r>
        <w:rPr>
          <w:color w:val="1E5B1E"/>
          <w:sz w:val="20"/>
          <w:szCs w:val="20"/>
        </w:rPr>
        <w:t xml:space="preserve">Abordarea onestă a punctelor slabe (firmă mică, în creștere) crește credibilitatea în fața evaluatorului: fiecare slăbiciune este exact ceea ce proiectul rezolvă. Un plan care pretinde că firma are deja tot nu este credibil pentru o firmă de 3 ani.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6"/>
          <w:szCs w:val="26"/>
        </w:rPr>
        <w:t xml:space="preserve">Ce trebuie confirmat înainte de finalizare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sz w:val="21"/>
          <w:szCs w:val="21"/>
        </w:rPr>
        <w:t xml:space="preserve">Proiectele reale livrate (2023–2025) și clienții de referință — pentru B.1.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sz w:val="21"/>
          <w:szCs w:val="21"/>
        </w:rPr>
        <w:t xml:space="preserve">Configurația reală a echipamentelor și licențelor deținute — pentru B.2.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sz w:val="21"/>
          <w:szCs w:val="21"/>
        </w:rPr>
        <w:t xml:space="preserve">Ce resurse tehnice de robotică/AI sunt efectiv disponibile firmei.</w:t>
      </w:r>
    </w:p>
    <w:p>
      <w:pPr>
        <w:pStyle w:val="ListParagraph"/>
        <w:numPr>
          <w:ilvl w:val="0"/>
          <w:numId w:val="2"/>
        </w:numPr>
        <w:spacing w:after="56" w:line="270"/>
      </w:pPr>
      <w:r>
        <w:rPr>
          <w:sz w:val="21"/>
          <w:szCs w:val="21"/>
        </w:rPr>
        <w:t xml:space="preserve">Numărul de angajați / colaboratori actuali (pentru încadrarea IMM și pentru B.1).</w:t>
      </w:r>
    </w:p>
    <w:sectPr>
      <w:headerReference w:type="default" r:id="rId6"/>
      <w:footerReference w:type="default" r:id="rId7"/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5"/>
        <w:szCs w:val="15"/>
      </w:rPr>
      <w:t xml:space="preserve">SRM DESIGN · Istoric și infrastructură · Partea I B · 12.08.2026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2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SRM DESIGN SRL</dc:creator>
  <cp:lastModifiedBy>Un-named</cp:lastModifiedBy>
  <cp:revision>1</cp:revision>
  <dcterms:created xsi:type="dcterms:W3CDTF">2026-08-12T15:12:20.637Z</dcterms:created>
  <dcterms:modified xsi:type="dcterms:W3CDTF">2026-08-12T15:12:20.637Z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