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WANDSPEZIFIKATIONEN UND LÖSUNGEN JE GESCHOSS</w:t>
      </w:r>
    </w:p>
    <w:p>
      <w:pPr>
        <w:spacing w:after="180"/>
        <w:jc w:val="center"/>
      </w:pPr>
      <w:r>
        <w:rPr>
          <w:color w:val="808080"/>
          <w:sz w:val="17"/>
          <w:szCs w:val="17"/>
        </w:rPr>
        <w:t>Für die Pläne Architektur Mădălina / 2026.05.28 (IT01–IT05) · Quelle: offizieller Bauphysik-Katalog EinrBPH Kap. 2.1 (Berger GmbH, 21.12.2021) + genehmigte Pläne P2041 · erstellt am 21.07.2026</w:t>
      </w:r>
    </w:p>
    <w:p>
      <w:pPr>
        <w:pBdr>
          <w:left w:val="single" w:color="BF8F00" w:sz="22"/>
        </w:pBdr>
        <w:shd w:fill="FFF2CC" w:val="clear"/>
        <w:spacing w:after="130" w:before="100"/>
      </w:pPr>
      <w:r>
        <w:rPr>
          <w:b/>
          <w:bCs/>
          <w:i w:val="false"/>
          <w:iCs w:val="false"/>
        </w:rPr>
        <w:t>Verwendung: jeder Plan in diesem Ordner hat eine ANNOTIERTE Variante (JPG/PDF) mit den zonenweise markierten Wandtypen. Dieses Dokument erläutert die Lösung jedes Typs und die Anwendungsregeln. Die Codes (AW01, WTW03, IW02...) sind EXAKT jene aus dem genehmigten Katalog — sie werden identisch in die Architekturpläne übernommen. Die Annotationen dienen der Koordination; die Endprüfung obliegt dem Planverfasser (Mattes) und dem Statiker.</w:t>
      </w:r>
      <w:r/>
    </w:p>
    <w:p>
      <w:pPr>
        <w:pStyle w:val="Heading1"/>
      </w:pPr>
      <w:r>
        <w:t>0. Drei kritische Feststellungen vorab</w:t>
      </w:r>
    </w:p>
    <w:p>
      <w:pPr>
        <w:pStyle w:val="ListParagraph"/>
        <w:numPr>
          <w:ilvl w:val="0"/>
          <w:numId w:val="2"/>
        </w:numPr>
      </w:pPr>
      <w:r>
        <w:rPr>
          <w:b/>
          <w:bCs/>
          <w:i w:val="false"/>
          <w:iCs w:val="false"/>
        </w:rPr>
        <w:t>1. Nummerierung der Einheiten: Auf den Plänen von Mădălina hat das Dachgeschoss Top 8–11; in der BAUBEWILLIGUNG sind die Dachgeschosseinheiten Top 20–23 (die genehmigten Pläne behalten die historische Nummerierung des Gebäudes bei, Top 1–19 Bestand). Vor jeder Einreichung ist ZWINGEND auf die Nummerierung des Konsenses zu vereinheitlichen — andernfalls weist die MA 37 wegen Widersprüchlichkeit zurück.</w:t>
      </w:r>
      <w:r/>
    </w:p>
    <w:p>
      <w:pPr>
        <w:pStyle w:val="ListParagraph"/>
        <w:numPr>
          <w:ilvl w:val="0"/>
          <w:numId w:val="2"/>
        </w:numPr>
      </w:pPr>
      <w:r>
        <w:rPr>
          <w:b/>
          <w:bCs/>
          <w:i w:val="false"/>
          <w:iCs w:val="false"/>
        </w:rPr>
        <w:t>2. Nutzung des Kellergeschosses („Yoga"): wird vor dem Zeichnen rechtlich fixiert — Gemeinschaftsraum der Bewohner ≠ gewerbliches Studio (unterschiedliche Anforderungen an Fluchtwege, Brandschutz, Bewilligung). Die Entscheidung bestimmt den Plan IT01/A.01.</w:t>
      </w:r>
      <w:r/>
    </w:p>
    <w:p>
      <w:pPr>
        <w:pStyle w:val="ListParagraph"/>
        <w:numPr>
          <w:ilvl w:val="0"/>
          <w:numId w:val="2"/>
        </w:numPr>
      </w:pPr>
      <w:r>
        <w:rPr>
          <w:b/>
          <w:bCs/>
          <w:i w:val="false"/>
          <w:iCs w:val="false"/>
        </w:rPr>
        <w:t>3. Die Wände zwischen den Wohnungen sind KEINE einfachen Trennwände: Überall dort, wo durch die Neuaufteilung eine neue Wand ZWISCHEN zwei Einheiten oder zum Stiegenhaus entsteht, gelten die Systeme WTW (Rw 70 dB, EI 90) — nicht IW. Diese Verwechslung ist der teuerste mögliche Fehler in der Ausführung.</w:t>
      </w:r>
      <w:r/>
    </w:p>
    <w:p>
      <w:pPr>
        <w:pStyle w:val="Heading1"/>
      </w:pPr>
      <w:r>
        <w:t>1. IT01 / A.01 — KELLERGESCHOSS (KG)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1F3864" w:val="clear"/>
            <w:tcMar>
              <w:top w:type="dxa" w:w="45"/>
              <w:left w:type="dxa" w:w="85"/>
              <w:bottom w:type="dxa" w:w="45"/>
              <w:right w:type="dxa" w:w="85"/>
            </w:tcMar>
          </w:tcPr>
          <w:p>
            <w:pPr>
              <w:spacing w:after="0"/>
            </w:pPr>
            <w:r>
              <w:rPr>
                <w:b/>
                <w:bCs/>
                <w:color w:val="FFFFFF"/>
                <w:sz w:val="18"/>
                <w:szCs w:val="18"/>
              </w:rPr>
              <w:t xml:space="preserve">Element</w:t>
            </w:r>
          </w:p>
        </w:tc>
        <w:tc>
          <w:tcPr>
            <w:tcW w:type="dxa" w:w="3600"/>
            <w:shd w:fill="1F3864" w:val="clear"/>
            <w:tcMar>
              <w:top w:type="dxa" w:w="45"/>
              <w:left w:type="dxa" w:w="85"/>
              <w:bottom w:type="dxa" w:w="45"/>
              <w:right w:type="dxa" w:w="85"/>
            </w:tcMar>
          </w:tcPr>
          <w:p>
            <w:pPr>
              <w:spacing w:after="0"/>
            </w:pPr>
            <w:r>
              <w:rPr>
                <w:b/>
                <w:bCs/>
                <w:color w:val="FFFFFF"/>
                <w:sz w:val="18"/>
                <w:szCs w:val="18"/>
              </w:rPr>
              <w:t>Die Lösung</w:t>
            </w:r>
          </w:p>
        </w:tc>
        <w:tc>
          <w:tcPr>
            <w:tcW w:type="dxa" w:w="4000"/>
            <w:shd w:fill="1F3864" w:val="clear"/>
            <w:tcMar>
              <w:top w:type="dxa" w:w="45"/>
              <w:left w:type="dxa" w:w="85"/>
              <w:bottom w:type="dxa" w:w="45"/>
              <w:right w:type="dxa" w:w="85"/>
            </w:tcMar>
          </w:tcPr>
          <w:p>
            <w:pPr>
              <w:spacing w:after="0"/>
            </w:pPr>
            <w:r>
              <w:rPr>
                <w:b/>
                <w:bCs/>
                <w:color w:val="FFFFFF"/>
                <w:sz w:val="18"/>
                <w:szCs w:val="18"/>
              </w:rPr>
              <w:t>Verarbeitungshinweise</w:t>
            </w:r>
          </w:p>
        </w:tc>
      </w:tr>
      <w:tr>
        <w:tc>
          <w:tcPr>
            <w:tcW w:type="dxa" w:w="1700"/>
            <w:tcMar>
              <w:top w:type="dxa" w:w="45"/>
              <w:left w:type="dxa" w:w="85"/>
              <w:bottom w:type="dxa" w:w="45"/>
              <w:right w:type="dxa" w:w="85"/>
            </w:tcMar>
          </w:tcPr>
          <w:p>
            <w:pPr>
              <w:spacing w:after="0"/>
            </w:pPr>
            <w:r>
              <w:t>Bestandswände</w:t>
            </w:r>
          </w:p>
        </w:tc>
        <w:tc>
          <w:tcPr>
            <w:tcW w:type="dxa" w:w="3600"/>
            <w:tcMar>
              <w:top w:type="dxa" w:w="45"/>
              <w:left w:type="dxa" w:w="85"/>
              <w:bottom w:type="dxa" w:w="45"/>
              <w:right w:type="dxa" w:w="85"/>
            </w:tcMar>
          </w:tcPr>
          <w:p>
            <w:pPr>
              <w:spacing w:after="0"/>
            </w:pPr>
            <w:r>
              <w:t>BESTAND — bleibt erhalten; keine strukturellen Eingriffe ohne Stellungnahme des Statikers</w:t>
            </w:r>
          </w:p>
        </w:tc>
        <w:tc>
          <w:tcPr>
            <w:tcW w:type="dxa" w:w="4000"/>
            <w:tcMar>
              <w:top w:type="dxa" w:w="45"/>
              <w:left w:type="dxa" w:w="85"/>
              <w:bottom w:type="dxa" w:w="45"/>
              <w:right w:type="dxa" w:w="85"/>
            </w:tcMar>
          </w:tcPr>
          <w:p>
            <w:pPr>
              <w:spacing w:after="0"/>
            </w:pPr>
            <w:r>
              <w:t>Sondierungen 2021: Gründung auf Ziegelmauern, Baugrund schluffiger Sand, kein Wasser</w:t>
            </w:r>
          </w:p>
        </w:tc>
      </w:tr>
      <w:tr>
        <w:tc>
          <w:tcPr>
            <w:tcW w:type="dxa" w:w="1700"/>
            <w:shd w:fill="F2F5FA" w:val="clear"/>
            <w:tcMar>
              <w:top w:type="dxa" w:w="45"/>
              <w:left w:type="dxa" w:w="85"/>
              <w:bottom w:type="dxa" w:w="45"/>
              <w:right w:type="dxa" w:w="85"/>
            </w:tcMar>
          </w:tcPr>
          <w:p>
            <w:pPr>
              <w:spacing w:after="0"/>
            </w:pPr>
            <w:r>
              <w:t>Aufzugsschachtgrube</w:t>
            </w:r>
          </w:p>
        </w:tc>
        <w:tc>
          <w:tcPr>
            <w:tcW w:type="dxa" w:w="3600"/>
            <w:shd w:fill="F2F5FA" w:val="clear"/>
            <w:tcMar>
              <w:top w:type="dxa" w:w="45"/>
              <w:left w:type="dxa" w:w="85"/>
              <w:bottom w:type="dxa" w:w="45"/>
              <w:right w:type="dxa" w:w="85"/>
            </w:tcMar>
          </w:tcPr>
          <w:p>
            <w:pPr>
              <w:spacing w:after="0"/>
            </w:pPr>
            <w:r>
              <w:rPr>
                <w:b w:val="false"/>
                <w:bCs w:val="false"/>
                <w:i w:val="false"/>
                <w:iCs w:val="false"/>
              </w:rPr>
            </w:r>
          </w:p>
        </w:tc>
        <w:tc>
          <w:tcPr>
            <w:tcW w:type="dxa" w:w="4000"/>
            <w:shd w:fill="F2F5FA" w:val="clear"/>
            <w:tcMar>
              <w:top w:type="dxa" w:w="45"/>
              <w:left w:type="dxa" w:w="85"/>
              <w:bottom w:type="dxa" w:w="45"/>
              <w:right w:type="dxa" w:w="85"/>
            </w:tcMar>
          </w:tcPr>
          <w:p>
            <w:pPr>
              <w:spacing w:after="0"/>
            </w:pPr>
            <w:r>
              <w:t>an die Fundamentplatte 30 cm angebunden; Bereich mit Anschüttung 0–5 m — siehe Profile MA 29 beim Statiker</w:t>
            </w:r>
          </w:p>
        </w:tc>
      </w:tr>
      <w:tr>
        <w:tc>
          <w:tcPr>
            <w:tcW w:type="dxa" w:w="1700"/>
            <w:tcMar>
              <w:top w:type="dxa" w:w="45"/>
              <w:left w:type="dxa" w:w="85"/>
              <w:bottom w:type="dxa" w:w="45"/>
              <w:right w:type="dxa" w:w="85"/>
            </w:tcMar>
          </w:tcPr>
          <w:p>
            <w:pPr>
              <w:spacing w:after="0"/>
            </w:pPr>
            <w:r>
              <w:t>Neue Trennwände</w:t>
            </w:r>
          </w:p>
        </w:tc>
        <w:tc>
          <w:tcPr>
            <w:tcW w:type="dxa" w:w="3600"/>
            <w:tcMar>
              <w:top w:type="dxa" w:w="45"/>
              <w:left w:type="dxa" w:w="85"/>
              <w:bottom w:type="dxa" w:w="45"/>
              <w:right w:type="dxa" w:w="85"/>
            </w:tcMar>
          </w:tcPr>
          <w:p>
            <w:pPr>
              <w:spacing w:after="0"/>
            </w:pPr>
            <w:r>
              <w:rPr>
                <w:b w:val="false"/>
                <w:bCs w:val="false"/>
                <w:i w:val="false"/>
                <w:iCs w:val="false"/>
              </w:rPr>
            </w:r>
          </w:p>
        </w:tc>
        <w:tc>
          <w:tcPr>
            <w:tcW w:type="dxa" w:w="4000"/>
            <w:tcMar>
              <w:top w:type="dxa" w:w="45"/>
              <w:left w:type="dxa" w:w="85"/>
              <w:bottom w:type="dxa" w:w="45"/>
              <w:right w:type="dxa" w:w="85"/>
            </w:tcMar>
          </w:tcPr>
          <w:p>
            <w:pPr>
              <w:spacing w:after="0"/>
            </w:pPr>
            <w:r>
              <w:t>in Feuchträumen: GKBi; keine wärme-/schallschutztechnischen Anforderungen laut BO</w:t>
            </w:r>
          </w:p>
        </w:tc>
      </w:tr>
      <w:tr>
        <w:tc>
          <w:tcPr>
            <w:tcW w:type="dxa" w:w="1700"/>
            <w:shd w:fill="F2F5FA" w:val="clear"/>
            <w:tcMar>
              <w:top w:type="dxa" w:w="45"/>
              <w:left w:type="dxa" w:w="85"/>
              <w:bottom w:type="dxa" w:w="45"/>
              <w:right w:type="dxa" w:w="85"/>
            </w:tcMar>
          </w:tcPr>
          <w:p>
            <w:pPr>
              <w:spacing w:after="0"/>
            </w:pPr>
            <w:r>
              <w:t>Installationsschächte</w:t>
            </w:r>
          </w:p>
        </w:tc>
        <w:tc>
          <w:tcPr>
            <w:tcW w:type="dxa" w:w="3600"/>
            <w:shd w:fill="F2F5FA" w:val="clear"/>
            <w:tcMar>
              <w:top w:type="dxa" w:w="45"/>
              <w:left w:type="dxa" w:w="85"/>
              <w:bottom w:type="dxa" w:w="45"/>
              <w:right w:type="dxa" w:w="85"/>
            </w:tcMar>
          </w:tcPr>
          <w:p>
            <w:pPr>
              <w:spacing w:after="0"/>
            </w:pPr>
            <w:r>
              <w:rPr>
                <w:b w:val="false"/>
                <w:bCs w:val="false"/>
                <w:i w:val="false"/>
                <w:iCs w:val="false"/>
              </w:rPr>
            </w:r>
          </w:p>
        </w:tc>
        <w:tc>
          <w:tcPr>
            <w:tcW w:type="dxa" w:w="4000"/>
            <w:shd w:fill="F2F5FA" w:val="clear"/>
            <w:tcMar>
              <w:top w:type="dxa" w:w="45"/>
              <w:left w:type="dxa" w:w="85"/>
              <w:bottom w:type="dxa" w:w="45"/>
              <w:right w:type="dxa" w:w="85"/>
            </w:tcMar>
          </w:tcPr>
          <w:p>
            <w:pPr>
              <w:spacing w:after="0"/>
            </w:pPr>
            <w:r>
              <w:t>Beginn aller Steigstränge — die Positionen werden HIER eingefroren und auf allen Geschossen identisch weitergeführt</w:t>
            </w:r>
          </w:p>
        </w:tc>
      </w:tr>
      <w:tr>
        <w:tc>
          <w:tcPr>
            <w:tcW w:type="dxa" w:w="1700"/>
            <w:tcMar>
              <w:top w:type="dxa" w:w="45"/>
              <w:left w:type="dxa" w:w="85"/>
              <w:bottom w:type="dxa" w:w="45"/>
              <w:right w:type="dxa" w:w="85"/>
            </w:tcMar>
          </w:tcPr>
          <w:p>
            <w:pPr>
              <w:spacing w:after="0"/>
            </w:pPr>
            <w:r>
              <w:t>Neue Fußböden</w:t>
            </w:r>
          </w:p>
        </w:tc>
        <w:tc>
          <w:tcPr>
            <w:tcW w:type="dxa" w:w="3600"/>
            <w:tcMar>
              <w:top w:type="dxa" w:w="45"/>
              <w:left w:type="dxa" w:w="85"/>
              <w:bottom w:type="dxa" w:w="45"/>
              <w:right w:type="dxa" w:w="85"/>
            </w:tcMar>
          </w:tcPr>
          <w:p>
            <w:pPr>
              <w:spacing w:after="0"/>
            </w:pPr>
            <w:r>
              <w:rPr>
                <w:b w:val="false"/>
                <w:bCs w:val="false"/>
                <w:i w:val="false"/>
                <w:iCs w:val="false"/>
              </w:rPr>
            </w:r>
          </w:p>
        </w:tc>
        <w:tc>
          <w:tcPr>
            <w:tcW w:type="dxa" w:w="4000"/>
            <w:tcMar>
              <w:top w:type="dxa" w:w="45"/>
              <w:left w:type="dxa" w:w="85"/>
              <w:bottom w:type="dxa" w:w="45"/>
              <w:right w:type="dxa" w:w="85"/>
            </w:tcMar>
          </w:tcPr>
          <w:p>
            <w:pPr>
              <w:spacing w:after="0"/>
            </w:pPr>
            <w:r>
              <w:t>dem Statiker gemeldete Lasten</w:t>
            </w:r>
          </w:p>
        </w:tc>
      </w:tr>
    </w:tbl>
    <w:p>
      <w:pPr>
        <w:pStyle w:val="Heading1"/>
      </w:pPr>
      <w:r>
        <w:t>2. IT02 / A.02 — ERDGESCHOSS (EG) und 3. IT03 — REGELGESCHOSS (1.–3. Stock)</w:t>
      </w:r>
    </w:p>
    <w:p>
      <w:r>
        <w:rPr>
          <w:b/>
          <w:bCs/>
          <w:i w:val="false"/>
          <w:iCs w:val="false"/>
        </w:rPr>
        <w:t>Prinzip: die bestehenden Geschoße. Die Fassaden (Straße + Hof + Feuermauern) und alle tragenden Wände = BESTAND, werden erhalten. Neubau = nur neue Raumaufteilungen in Leichtbauweise + die hofseitig genehmigten Öffnungen + der Aufzug.</w:t>
      </w:r>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1F3864" w:val="clear"/>
            <w:tcMar>
              <w:top w:type="dxa" w:w="45"/>
              <w:left w:type="dxa" w:w="85"/>
              <w:bottom w:type="dxa" w:w="45"/>
              <w:right w:type="dxa" w:w="85"/>
            </w:tcMar>
          </w:tcPr>
          <w:p>
            <w:pPr>
              <w:spacing w:after="0"/>
            </w:pPr>
            <w:r>
              <w:rPr>
                <w:b/>
                <w:bCs/>
                <w:color w:val="FFFFFF"/>
                <w:sz w:val="18"/>
                <w:szCs w:val="18"/>
              </w:rPr>
              <w:t xml:space="preserve">Element</w:t>
            </w:r>
          </w:p>
        </w:tc>
        <w:tc>
          <w:tcPr>
            <w:tcW w:type="dxa" w:w="3600"/>
            <w:shd w:fill="1F3864" w:val="clear"/>
            <w:tcMar>
              <w:top w:type="dxa" w:w="45"/>
              <w:left w:type="dxa" w:w="85"/>
              <w:bottom w:type="dxa" w:w="45"/>
              <w:right w:type="dxa" w:w="85"/>
            </w:tcMar>
          </w:tcPr>
          <w:p>
            <w:pPr>
              <w:spacing w:after="0"/>
            </w:pPr>
            <w:r>
              <w:rPr>
                <w:b/>
                <w:bCs/>
                <w:color w:val="FFFFFF"/>
                <w:sz w:val="18"/>
                <w:szCs w:val="18"/>
              </w:rPr>
              <w:t>Die Lösung</w:t>
            </w:r>
          </w:p>
        </w:tc>
        <w:tc>
          <w:tcPr>
            <w:tcW w:type="dxa" w:w="4000"/>
            <w:shd w:fill="1F3864" w:val="clear"/>
            <w:tcMar>
              <w:top w:type="dxa" w:w="45"/>
              <w:left w:type="dxa" w:w="85"/>
              <w:bottom w:type="dxa" w:w="45"/>
              <w:right w:type="dxa" w:w="85"/>
            </w:tcMar>
          </w:tcPr>
          <w:p>
            <w:pPr>
              <w:spacing w:after="0"/>
            </w:pPr>
            <w:r>
              <w:rPr>
                <w:b/>
                <w:bCs/>
                <w:color w:val="FFFFFF"/>
                <w:sz w:val="18"/>
                <w:szCs w:val="18"/>
              </w:rPr>
              <w:t>Verarbeitungshinweise</w:t>
            </w:r>
          </w:p>
        </w:tc>
      </w:tr>
      <w:tr>
        <w:tc>
          <w:tcPr>
            <w:tcW w:type="dxa" w:w="1700"/>
            <w:tcMar>
              <w:top w:type="dxa" w:w="45"/>
              <w:left w:type="dxa" w:w="85"/>
              <w:bottom w:type="dxa" w:w="45"/>
              <w:right w:type="dxa" w:w="85"/>
            </w:tcMar>
          </w:tcPr>
          <w:p>
            <w:pPr>
              <w:spacing w:after="0"/>
            </w:pPr>
            <w:r>
              <w:t>Fassade STRASSE</w:t>
            </w:r>
          </w:p>
        </w:tc>
        <w:tc>
          <w:tcPr>
            <w:tcW w:type="dxa" w:w="3600"/>
            <w:tcMar>
              <w:top w:type="dxa" w:w="45"/>
              <w:left w:type="dxa" w:w="85"/>
              <w:bottom w:type="dxa" w:w="45"/>
              <w:right w:type="dxa" w:w="85"/>
            </w:tcMar>
          </w:tcPr>
          <w:p>
            <w:pPr>
              <w:spacing w:after="0"/>
            </w:pPr>
            <w:r>
              <w:t>BESTAND — bleibt vollständig erhalten; nur Sanierung Putz/Anstrich</w:t>
            </w:r>
          </w:p>
        </w:tc>
        <w:tc>
          <w:tcPr>
            <w:tcW w:type="dxa" w:w="4000"/>
            <w:tcMar>
              <w:top w:type="dxa" w:w="45"/>
              <w:left w:type="dxa" w:w="85"/>
              <w:bottom w:type="dxa" w:w="45"/>
              <w:right w:type="dxa" w:w="85"/>
            </w:tcMar>
          </w:tcPr>
          <w:p>
            <w:pPr>
              <w:spacing w:after="0"/>
            </w:pPr>
            <w:r>
              <w:t>zentrales Argument der Bewilligung nach § 69 — es wird KEINE Änderung eingezeichnet</w:t>
            </w:r>
          </w:p>
        </w:tc>
      </w:tr>
      <w:tr>
        <w:tc>
          <w:tcPr>
            <w:tcW w:type="dxa" w:w="1700"/>
            <w:shd w:fill="F2F5FA" w:val="clear"/>
            <w:tcMar>
              <w:top w:type="dxa" w:w="45"/>
              <w:left w:type="dxa" w:w="85"/>
              <w:bottom w:type="dxa" w:w="45"/>
              <w:right w:type="dxa" w:w="85"/>
            </w:tcMar>
          </w:tcPr>
          <w:p>
            <w:pPr>
              <w:spacing w:after="0"/>
            </w:pPr>
            <w:r>
              <w:t>Fassade HOF</w:t>
            </w:r>
          </w:p>
        </w:tc>
        <w:tc>
          <w:tcPr>
            <w:tcW w:type="dxa" w:w="3600"/>
            <w:shd w:fill="F2F5FA" w:val="clear"/>
            <w:tcMar>
              <w:top w:type="dxa" w:w="45"/>
              <w:left w:type="dxa" w:w="85"/>
              <w:bottom w:type="dxa" w:w="45"/>
              <w:right w:type="dxa" w:w="85"/>
            </w:tcMar>
          </w:tcPr>
          <w:p>
            <w:pPr>
              <w:spacing w:after="0"/>
            </w:pPr>
            <w:r>
              <w:t>BESTAND; NEUE Öffnungen nur für die genehmigten Terrassen-/Balkontüren (+ Terrasse EG)</w:t>
            </w:r>
          </w:p>
        </w:tc>
        <w:tc>
          <w:tcPr>
            <w:tcW w:type="dxa" w:w="4000"/>
            <w:shd w:fill="F2F5FA" w:val="clear"/>
            <w:tcMar>
              <w:top w:type="dxa" w:w="45"/>
              <w:left w:type="dxa" w:w="85"/>
              <w:bottom w:type="dxa" w:w="45"/>
              <w:right w:type="dxa" w:w="85"/>
            </w:tcMar>
          </w:tcPr>
          <w:p>
            <w:pPr>
              <w:spacing w:after="0"/>
            </w:pPr>
            <w:r>
              <w:t>jede neue Öffnung: schriftliche Stellungnahme STATIKER + Sturz gemäß Statik; Balkone HEB120 gemäß genehmigtem Detail</w:t>
            </w:r>
          </w:p>
        </w:tc>
      </w:tr>
      <w:tr>
        <w:tc>
          <w:tcPr>
            <w:tcW w:type="dxa" w:w="1700"/>
            <w:tcMar>
              <w:top w:type="dxa" w:w="45"/>
              <w:left w:type="dxa" w:w="85"/>
              <w:bottom w:type="dxa" w:w="45"/>
              <w:right w:type="dxa" w:w="85"/>
            </w:tcMar>
          </w:tcPr>
          <w:p>
            <w:pPr>
              <w:spacing w:after="0"/>
            </w:pPr>
            <w:r>
              <w:t>Neue Wände ZWISCHEN den Einheiten</w:t>
            </w:r>
          </w:p>
        </w:tc>
        <w:tc>
          <w:tcPr>
            <w:tcW w:type="dxa" w:w="3600"/>
            <w:tcMar>
              <w:top w:type="dxa" w:w="45"/>
              <w:left w:type="dxa" w:w="85"/>
              <w:bottom w:type="dxa" w:w="45"/>
              <w:right w:type="dxa" w:w="85"/>
            </w:tcMar>
          </w:tcPr>
          <w:p>
            <w:pPr>
              <w:spacing w:after="0"/>
            </w:pPr>
            <w:r>
              <w:rPr>
                <w:b w:val="false"/>
                <w:bCs w:val="false"/>
                <w:i w:val="false"/>
                <w:iCs w:val="false"/>
              </w:rPr>
            </w:r>
          </w:p>
        </w:tc>
        <w:tc>
          <w:tcPr>
            <w:tcW w:type="dxa" w:w="4000"/>
            <w:tcMar>
              <w:top w:type="dxa" w:w="45"/>
              <w:left w:type="dxa" w:w="85"/>
              <w:bottom w:type="dxa" w:w="45"/>
              <w:right w:type="dxa" w:w="85"/>
            </w:tcMar>
          </w:tcPr>
          <w:p>
            <w:pPr>
              <w:spacing w:after="0"/>
            </w:pPr>
            <w:r>
              <w:t>bei Zusammenlegungen/Neuteilungen von Tops; dichter Anschluss oben an die Bestandsdecke (Dippelbaum) — Detail vom Planverfasser</w:t>
            </w:r>
          </w:p>
        </w:tc>
      </w:tr>
      <w:tr>
        <w:tc>
          <w:tcPr>
            <w:tcW w:type="dxa" w:w="1700"/>
            <w:shd w:fill="F2F5FA" w:val="clear"/>
            <w:tcMar>
              <w:top w:type="dxa" w:w="45"/>
              <w:left w:type="dxa" w:w="85"/>
              <w:bottom w:type="dxa" w:w="45"/>
              <w:right w:type="dxa" w:w="85"/>
            </w:tcMar>
          </w:tcPr>
          <w:p>
            <w:pPr>
              <w:spacing w:after="0"/>
            </w:pPr>
            <w:r>
              <w:t>Wände innerhalb der Einheit</w:t>
            </w:r>
          </w:p>
        </w:tc>
        <w:tc>
          <w:tcPr>
            <w:tcW w:type="dxa" w:w="3600"/>
            <w:shd w:fill="F2F5FA" w:val="clear"/>
            <w:tcMar>
              <w:top w:type="dxa" w:w="45"/>
              <w:left w:type="dxa" w:w="85"/>
              <w:bottom w:type="dxa" w:w="45"/>
              <w:right w:type="dxa" w:w="85"/>
            </w:tcMar>
          </w:tcPr>
          <w:p>
            <w:pPr>
              <w:spacing w:after="0"/>
            </w:pPr>
            <w:r>
              <w:rPr>
                <w:b w:val="false"/>
                <w:bCs w:val="false"/>
                <w:i w:val="false"/>
                <w:iCs w:val="false"/>
              </w:rPr>
            </w:r>
          </w:p>
        </w:tc>
        <w:tc>
          <w:tcPr>
            <w:tcW w:type="dxa" w:w="4000"/>
            <w:shd w:fill="F2F5FA" w:val="clear"/>
            <w:tcMar>
              <w:top w:type="dxa" w:w="45"/>
              <w:left w:type="dxa" w:w="85"/>
              <w:bottom w:type="dxa" w:w="45"/>
              <w:right w:type="dxa" w:w="85"/>
            </w:tcMar>
          </w:tcPr>
          <w:p>
            <w:pPr>
              <w:spacing w:after="0"/>
            </w:pPr>
            <w:r>
              <w:t>Dicke nach den Installationen in der Wand wählen (z. B. IW04 für Wand-WCs)</w:t>
            </w:r>
          </w:p>
        </w:tc>
      </w:tr>
      <w:tr>
        <w:tc>
          <w:tcPr>
            <w:tcW w:type="dxa" w:w="1700"/>
            <w:tcMar>
              <w:top w:type="dxa" w:w="45"/>
              <w:left w:type="dxa" w:w="85"/>
              <w:bottom w:type="dxa" w:w="45"/>
              <w:right w:type="dxa" w:w="85"/>
            </w:tcMar>
          </w:tcPr>
          <w:p>
            <w:pPr>
              <w:spacing w:after="0"/>
            </w:pPr>
            <w:r>
              <w:t>Zum Stiegenhaus</w:t>
            </w:r>
          </w:p>
        </w:tc>
        <w:tc>
          <w:tcPr>
            <w:tcW w:type="dxa" w:w="3600"/>
            <w:tcMar>
              <w:top w:type="dxa" w:w="45"/>
              <w:left w:type="dxa" w:w="85"/>
              <w:bottom w:type="dxa" w:w="45"/>
              <w:right w:type="dxa" w:w="85"/>
            </w:tcMar>
          </w:tcPr>
          <w:p>
            <w:pPr>
              <w:spacing w:after="0"/>
            </w:pPr>
            <w:r>
              <w:t>BESTANDSWAND; wo beplankt wird: System Typ WTW04 (VSS TW-KF 75 + 2×GKB)</w:t>
            </w:r>
            <w:r>
              <w:rPr>
                <w:b/>
                <w:bCs/>
                <w:i w:val="false"/>
                <w:iCs w:val="false"/>
              </w:rPr>
            </w:r>
            <w:r/>
          </w:p>
        </w:tc>
        <w:tc>
          <w:tcPr>
            <w:tcW w:type="dxa" w:w="4000"/>
            <w:tcMar>
              <w:top w:type="dxa" w:w="45"/>
              <w:left w:type="dxa" w:w="85"/>
              <w:bottom w:type="dxa" w:w="45"/>
              <w:right w:type="dxa" w:w="85"/>
            </w:tcMar>
          </w:tcPr>
          <w:p>
            <w:pPr>
              <w:spacing w:after="0"/>
            </w:pPr>
            <w:r>
              <w:t>Türen Wohnung→Stiegenhaus: EI2 30-C; werden nicht ohne Überprüfung der Fluchtwege versetzt</w:t>
            </w:r>
          </w:p>
        </w:tc>
      </w:tr>
      <w:tr>
        <w:tc>
          <w:tcPr>
            <w:tcW w:type="dxa" w:w="1700"/>
            <w:shd w:fill="F2F5FA" w:val="clear"/>
            <w:tcMar>
              <w:top w:type="dxa" w:w="45"/>
              <w:left w:type="dxa" w:w="85"/>
              <w:bottom w:type="dxa" w:w="45"/>
              <w:right w:type="dxa" w:w="85"/>
            </w:tcMar>
          </w:tcPr>
          <w:p>
            <w:pPr>
              <w:spacing w:after="0"/>
            </w:pPr>
            <w:r>
              <w:t>Neben den Rauchfängen</w:t>
            </w:r>
          </w:p>
        </w:tc>
        <w:tc>
          <w:tcPr>
            <w:tcW w:type="dxa" w:w="3600"/>
            <w:shd w:fill="F2F5FA" w:val="clear"/>
            <w:tcMar>
              <w:top w:type="dxa" w:w="45"/>
              <w:left w:type="dxa" w:w="85"/>
              <w:bottom w:type="dxa" w:w="45"/>
              <w:right w:type="dxa" w:w="85"/>
            </w:tcMar>
          </w:tcPr>
          <w:p>
            <w:pPr>
              <w:spacing w:after="0"/>
            </w:pPr>
            <w:r>
              <w:rPr>
                <w:b w:val="false"/>
                <w:bCs w:val="false"/>
                <w:i w:val="false"/>
                <w:iCs w:val="false"/>
              </w:rPr>
            </w:r>
          </w:p>
        </w:tc>
        <w:tc>
          <w:tcPr>
            <w:tcW w:type="dxa" w:w="4000"/>
            <w:shd w:fill="F2F5FA" w:val="clear"/>
            <w:tcMar>
              <w:top w:type="dxa" w:w="45"/>
              <w:left w:type="dxa" w:w="85"/>
              <w:bottom w:type="dxa" w:w="45"/>
              <w:right w:type="dxa" w:w="85"/>
            </w:tcMar>
          </w:tcPr>
          <w:p>
            <w:pPr>
              <w:spacing w:after="0"/>
            </w:pPr>
            <w:r>
              <w:t>die Rauchfänge (31 Anschlüsse) werden NICHT verschlossen/durchbrochen — Rauchfangkehrerbefund</w:t>
            </w:r>
          </w:p>
        </w:tc>
      </w:tr>
      <w:tr>
        <w:tc>
          <w:tcPr>
            <w:tcW w:type="dxa" w:w="1700"/>
            <w:tcMar>
              <w:top w:type="dxa" w:w="45"/>
              <w:left w:type="dxa" w:w="85"/>
              <w:bottom w:type="dxa" w:w="45"/>
              <w:right w:type="dxa" w:w="85"/>
            </w:tcMar>
          </w:tcPr>
          <w:p>
            <w:pPr>
              <w:spacing w:after="0"/>
            </w:pPr>
            <w:r>
              <w:t>Installationsschächte</w:t>
            </w:r>
          </w:p>
        </w:tc>
        <w:tc>
          <w:tcPr>
            <w:tcW w:type="dxa" w:w="3600"/>
            <w:tcMar>
              <w:top w:type="dxa" w:w="45"/>
              <w:left w:type="dxa" w:w="85"/>
              <w:bottom w:type="dxa" w:w="45"/>
              <w:right w:type="dxa" w:w="85"/>
            </w:tcMar>
          </w:tcPr>
          <w:p>
            <w:pPr>
              <w:spacing w:after="0"/>
            </w:pPr>
            <w:r>
              <w:rPr>
                <w:b w:val="false"/>
                <w:bCs w:val="false"/>
                <w:i w:val="false"/>
                <w:iCs w:val="false"/>
              </w:rPr>
            </w:r>
          </w:p>
        </w:tc>
        <w:tc>
          <w:tcPr>
            <w:tcW w:type="dxa" w:w="4000"/>
            <w:tcMar>
              <w:top w:type="dxa" w:w="45"/>
              <w:left w:type="dxa" w:w="85"/>
              <w:bottom w:type="dxa" w:w="45"/>
              <w:right w:type="dxa" w:w="85"/>
            </w:tcMar>
          </w:tcPr>
          <w:p>
            <w:pPr>
              <w:spacing w:after="0"/>
            </w:pPr>
            <w:r>
              <w:t>vertikal mit Untergeschoss und Dachgeschoss fluchtend</w:t>
            </w:r>
          </w:p>
        </w:tc>
      </w:tr>
      <w:tr>
        <w:tc>
          <w:tcPr>
            <w:tcW w:type="dxa" w:w="1700"/>
            <w:shd w:fill="F2F5FA" w:val="clear"/>
            <w:tcMar>
              <w:top w:type="dxa" w:w="45"/>
              <w:left w:type="dxa" w:w="85"/>
              <w:bottom w:type="dxa" w:w="45"/>
              <w:right w:type="dxa" w:w="85"/>
            </w:tcMar>
          </w:tcPr>
          <w:p>
            <w:pPr>
              <w:spacing w:after="0"/>
            </w:pPr>
            <w:r>
              <w:t>Neue Bäder</w:t>
            </w:r>
          </w:p>
        </w:tc>
        <w:tc>
          <w:tcPr>
            <w:tcW w:type="dxa" w:w="3600"/>
            <w:shd w:fill="F2F5FA" w:val="clear"/>
            <w:tcMar>
              <w:top w:type="dxa" w:w="45"/>
              <w:left w:type="dxa" w:w="85"/>
              <w:bottom w:type="dxa" w:w="45"/>
              <w:right w:type="dxa" w:w="85"/>
            </w:tcMar>
          </w:tcPr>
          <w:p>
            <w:pPr>
              <w:spacing w:after="0"/>
            </w:pPr>
            <w:r>
              <w:t>mechanische Lüftung mit Abluftführung über Dach + Abdichtung mit Hohlkehle gemäß ÖNORM + GKBi/GKFi</w:t>
            </w:r>
          </w:p>
        </w:tc>
        <w:tc>
          <w:tcPr>
            <w:tcW w:type="dxa" w:w="4000"/>
            <w:shd w:fill="F2F5FA" w:val="clear"/>
            <w:tcMar>
              <w:top w:type="dxa" w:w="45"/>
              <w:left w:type="dxa" w:w="85"/>
              <w:bottom w:type="dxa" w:w="45"/>
              <w:right w:type="dxa" w:w="85"/>
            </w:tcMar>
          </w:tcPr>
          <w:p>
            <w:pPr>
              <w:spacing w:after="0"/>
            </w:pPr>
            <w:r>
              <w:t>Positionierung vorzugsweise neben den bestehenden Strängen; Estrichgewicht → Statiker</w:t>
            </w:r>
          </w:p>
        </w:tc>
      </w:tr>
      <w:tr>
        <w:tc>
          <w:tcPr>
            <w:tcW w:type="dxa" w:w="1700"/>
            <w:tcMar>
              <w:top w:type="dxa" w:w="45"/>
              <w:left w:type="dxa" w:w="85"/>
              <w:bottom w:type="dxa" w:w="45"/>
              <w:right w:type="dxa" w:w="85"/>
            </w:tcMar>
          </w:tcPr>
          <w:p>
            <w:pPr>
              <w:spacing w:after="0"/>
            </w:pPr>
            <w:r>
              <w:t>Fußböden</w:t>
            </w:r>
          </w:p>
        </w:tc>
        <w:tc>
          <w:tcPr>
            <w:tcW w:type="dxa" w:w="3600"/>
            <w:tcMar>
              <w:top w:type="dxa" w:w="45"/>
              <w:left w:type="dxa" w:w="85"/>
              <w:bottom w:type="dxa" w:w="45"/>
              <w:right w:type="dxa" w:w="85"/>
            </w:tcMar>
          </w:tcPr>
          <w:p>
            <w:pPr>
              <w:spacing w:after="0"/>
            </w:pPr>
            <w:r>
              <w:rPr>
                <w:b w:val="false"/>
                <w:bCs w:val="false"/>
                <w:i w:val="false"/>
                <w:iCs w:val="false"/>
              </w:rPr>
            </w:r>
          </w:p>
        </w:tc>
        <w:tc>
          <w:tcPr>
            <w:tcW w:type="dxa" w:w="4000"/>
            <w:tcMar>
              <w:top w:type="dxa" w:w="45"/>
              <w:left w:type="dxa" w:w="85"/>
              <w:bottom w:type="dxa" w:w="45"/>
              <w:right w:type="dxa" w:w="85"/>
            </w:tcMar>
          </w:tcPr>
          <w:p>
            <w:pPr>
              <w:spacing w:after="0"/>
            </w:pPr>
            <w:r>
              <w:t>wie Untergeschoss</w:t>
            </w:r>
          </w:p>
        </w:tc>
      </w:tr>
      <w:tr>
        <w:tc>
          <w:tcPr>
            <w:tcW w:type="dxa" w:w="1700"/>
            <w:shd w:fill="F2F5FA" w:val="clear"/>
            <w:tcMar>
              <w:top w:type="dxa" w:w="45"/>
              <w:left w:type="dxa" w:w="85"/>
              <w:bottom w:type="dxa" w:w="45"/>
              <w:right w:type="dxa" w:w="85"/>
            </w:tcMar>
          </w:tcPr>
          <w:p>
            <w:pPr>
              <w:spacing w:after="0"/>
            </w:pPr>
            <w:r>
              <w:t>Aufzug</w:t>
            </w:r>
          </w:p>
        </w:tc>
        <w:tc>
          <w:tcPr>
            <w:tcW w:type="dxa" w:w="3600"/>
            <w:shd w:fill="F2F5FA" w:val="clear"/>
            <w:tcMar>
              <w:top w:type="dxa" w:w="45"/>
              <w:left w:type="dxa" w:w="85"/>
              <w:bottom w:type="dxa" w:w="45"/>
              <w:right w:type="dxa" w:w="85"/>
            </w:tcMar>
          </w:tcPr>
          <w:p>
            <w:pPr>
              <w:spacing w:after="0"/>
            </w:pPr>
            <w:r>
              <w:rPr>
                <w:b w:val="false"/>
                <w:bCs w:val="false"/>
                <w:i w:val="false"/>
                <w:iCs w:val="false"/>
              </w:rPr>
            </w:r>
          </w:p>
        </w:tc>
        <w:tc>
          <w:tcPr>
            <w:tcW w:type="dxa" w:w="4000"/>
            <w:shd w:fill="F2F5FA" w:val="clear"/>
            <w:tcMar>
              <w:top w:type="dxa" w:w="45"/>
              <w:left w:type="dxa" w:w="85"/>
              <w:bottom w:type="dxa" w:w="45"/>
              <w:right w:type="dxa" w:w="85"/>
            </w:tcMar>
          </w:tcPr>
          <w:p>
            <w:pPr>
              <w:spacing w:after="0"/>
            </w:pPr>
            <w:r>
              <w:t>Anschluss an das Stiegenhaus gemäß genehmigtem Projekt</w:t>
            </w:r>
          </w:p>
        </w:tc>
      </w:tr>
    </w:tbl>
    <w:p>
      <w:pPr>
        <w:pStyle w:val="Heading1"/>
      </w:pPr>
      <w:r>
        <w:t>4. IT04 / Plan Dachgeschoss 1 — DACHGESCHOSS 1 (1.DG, +14,23) — alles NEU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1F3864" w:val="clear"/>
            <w:tcMar>
              <w:top w:type="dxa" w:w="45"/>
              <w:left w:type="dxa" w:w="85"/>
              <w:bottom w:type="dxa" w:w="45"/>
              <w:right w:type="dxa" w:w="85"/>
            </w:tcMar>
          </w:tcPr>
          <w:p>
            <w:pPr>
              <w:spacing w:after="0"/>
            </w:pPr>
            <w:r>
              <w:rPr>
                <w:b/>
                <w:bCs/>
                <w:color w:val="FFFFFF"/>
                <w:sz w:val="18"/>
                <w:szCs w:val="18"/>
              </w:rPr>
              <w:t xml:space="preserve">Element</w:t>
            </w:r>
          </w:p>
        </w:tc>
        <w:tc>
          <w:tcPr>
            <w:tcW w:type="dxa" w:w="3600"/>
            <w:shd w:fill="1F3864" w:val="clear"/>
            <w:tcMar>
              <w:top w:type="dxa" w:w="45"/>
              <w:left w:type="dxa" w:w="85"/>
              <w:bottom w:type="dxa" w:w="45"/>
              <w:right w:type="dxa" w:w="85"/>
            </w:tcMar>
          </w:tcPr>
          <w:p>
            <w:pPr>
              <w:spacing w:after="0"/>
            </w:pPr>
            <w:r>
              <w:rPr>
                <w:b/>
                <w:bCs/>
                <w:color w:val="FFFFFF"/>
                <w:sz w:val="18"/>
                <w:szCs w:val="18"/>
              </w:rPr>
              <w:t>Die Lösung</w:t>
            </w:r>
          </w:p>
        </w:tc>
        <w:tc>
          <w:tcPr>
            <w:tcW w:type="dxa" w:w="4000"/>
            <w:shd w:fill="1F3864" w:val="clear"/>
            <w:tcMar>
              <w:top w:type="dxa" w:w="45"/>
              <w:left w:type="dxa" w:w="85"/>
              <w:bottom w:type="dxa" w:w="45"/>
              <w:right w:type="dxa" w:w="85"/>
            </w:tcMar>
          </w:tcPr>
          <w:p>
            <w:pPr>
              <w:spacing w:after="0"/>
            </w:pPr>
            <w:r>
              <w:rPr>
                <w:b/>
                <w:bCs/>
                <w:color w:val="FFFFFF"/>
                <w:sz w:val="18"/>
                <w:szCs w:val="18"/>
              </w:rPr>
              <w:t>Verarbeitungshinweise</w:t>
            </w:r>
          </w:p>
        </w:tc>
      </w:tr>
      <w:tr>
        <w:tc>
          <w:tcPr>
            <w:tcW w:type="dxa" w:w="1700"/>
            <w:tcMar>
              <w:top w:type="dxa" w:w="45"/>
              <w:left w:type="dxa" w:w="85"/>
              <w:bottom w:type="dxa" w:w="45"/>
              <w:right w:type="dxa" w:w="85"/>
            </w:tcMar>
          </w:tcPr>
          <w:p>
            <w:pPr>
              <w:spacing w:after="0"/>
            </w:pPr>
            <w:r>
              <w:t>STRASSE — unten</w:t>
            </w:r>
          </w:p>
        </w:tc>
        <w:tc>
          <w:tcPr>
            <w:tcW w:type="dxa" w:w="3600"/>
            <w:tcMar>
              <w:top w:type="dxa" w:w="45"/>
              <w:left w:type="dxa" w:w="85"/>
              <w:bottom w:type="dxa" w:w="45"/>
              <w:right w:type="dxa" w:w="85"/>
            </w:tcMar>
          </w:tcPr>
          <w:p>
            <w:pPr>
              <w:spacing w:after="0"/>
            </w:pPr>
            <w:r>
              <w:rPr>
                <w:b w:val="false"/>
                <w:bCs w:val="false"/>
                <w:i w:val="false"/>
                <w:iCs w:val="false"/>
              </w:rPr>
            </w:r>
          </w:p>
        </w:tc>
        <w:tc>
          <w:tcPr>
            <w:tcW w:type="dxa" w:w="4000"/>
            <w:tcMar>
              <w:top w:type="dxa" w:w="45"/>
              <w:left w:type="dxa" w:w="85"/>
              <w:bottom w:type="dxa" w:w="45"/>
              <w:right w:type="dxa" w:w="85"/>
            </w:tcMar>
          </w:tcPr>
          <w:p>
            <w:pPr>
              <w:spacing w:after="0"/>
            </w:pPr>
            <w:r>
              <w:t>NICHT als eine einzige Wand modellieren! FPH 85 = Drempelbereich; End-U-Wert: AW06=0,32 / AW01=0,159</w:t>
            </w:r>
          </w:p>
        </w:tc>
      </w:tr>
      <w:tr>
        <w:tc>
          <w:tcPr>
            <w:tcW w:type="dxa" w:w="1700"/>
            <w:shd w:fill="F2F5FA" w:val="clear"/>
            <w:tcMar>
              <w:top w:type="dxa" w:w="45"/>
              <w:left w:type="dxa" w:w="85"/>
              <w:bottom w:type="dxa" w:w="45"/>
              <w:right w:type="dxa" w:w="85"/>
            </w:tcMar>
          </w:tcPr>
          <w:p>
            <w:pPr>
              <w:spacing w:after="0"/>
            </w:pPr>
            <w:r>
              <w:t>HOF — oben</w:t>
            </w:r>
          </w:p>
        </w:tc>
        <w:tc>
          <w:tcPr>
            <w:tcW w:type="dxa" w:w="3600"/>
            <w:shd w:fill="F2F5FA" w:val="clear"/>
            <w:tcMar>
              <w:top w:type="dxa" w:w="45"/>
              <w:left w:type="dxa" w:w="85"/>
              <w:bottom w:type="dxa" w:w="45"/>
              <w:right w:type="dxa" w:w="85"/>
            </w:tcMar>
          </w:tcPr>
          <w:p>
            <w:pPr>
              <w:spacing w:after="0"/>
            </w:pPr>
            <w:r>
              <w:rPr>
                <w:b w:val="false"/>
                <w:bCs w:val="false"/>
                <w:i w:val="false"/>
                <w:iCs w:val="false"/>
              </w:rPr>
            </w:r>
          </w:p>
        </w:tc>
        <w:tc>
          <w:tcPr>
            <w:tcW w:type="dxa" w:w="4000"/>
            <w:shd w:fill="F2F5FA" w:val="clear"/>
            <w:tcMar>
              <w:top w:type="dxa" w:w="45"/>
              <w:left w:type="dxa" w:w="85"/>
              <w:bottom w:type="dxa" w:w="45"/>
              <w:right w:type="dxa" w:w="85"/>
            </w:tcMar>
          </w:tcPr>
          <w:p>
            <w:pPr>
              <w:spacing w:after="0"/>
            </w:pPr>
            <w:r>
              <w:t>AW01 hofseitig erst ab DG2 — nicht verwechseln!</w:t>
            </w:r>
          </w:p>
        </w:tc>
      </w:tr>
      <w:tr>
        <w:tc>
          <w:tcPr>
            <w:tcW w:type="dxa" w:w="1700"/>
            <w:tcMar>
              <w:top w:type="dxa" w:w="45"/>
              <w:left w:type="dxa" w:w="85"/>
              <w:bottom w:type="dxa" w:w="45"/>
              <w:right w:type="dxa" w:w="85"/>
            </w:tcMar>
          </w:tcPr>
          <w:p>
            <w:pPr>
              <w:spacing w:after="0"/>
            </w:pPr>
            <w:r>
              <w:t>Feuermauern</w:t>
            </w:r>
          </w:p>
        </w:tc>
        <w:tc>
          <w:tcPr>
            <w:tcW w:type="dxa" w:w="3600"/>
            <w:tcMar>
              <w:top w:type="dxa" w:w="45"/>
              <w:left w:type="dxa" w:w="85"/>
              <w:bottom w:type="dxa" w:w="45"/>
              <w:right w:type="dxa" w:w="85"/>
            </w:tcMar>
          </w:tcPr>
          <w:p>
            <w:pPr>
              <w:spacing w:after="0"/>
            </w:pPr>
            <w:r>
              <w:rPr>
                <w:b w:val="false"/>
                <w:bCs w:val="false"/>
                <w:i w:val="false"/>
                <w:iCs w:val="false"/>
              </w:rPr>
            </w:r>
          </w:p>
        </w:tc>
        <w:tc>
          <w:tcPr>
            <w:tcW w:type="dxa" w:w="4000"/>
            <w:tcMar>
              <w:top w:type="dxa" w:w="45"/>
              <w:left w:type="dxa" w:w="85"/>
              <w:bottom w:type="dxa" w:w="45"/>
              <w:right w:type="dxa" w:w="85"/>
            </w:tcMar>
          </w:tcPr>
          <w:p>
            <w:pPr>
              <w:spacing w:after="0"/>
            </w:pPr>
            <w:r>
              <w:t>„Firstwand mit VSS für Dachentwässerung" — umfasst den Raum für die Dachentwässerung; Rw 63</w:t>
            </w:r>
          </w:p>
        </w:tc>
      </w:tr>
      <w:tr>
        <w:tc>
          <w:tcPr>
            <w:tcW w:type="dxa" w:w="1700"/>
            <w:shd w:fill="F2F5FA" w:val="clear"/>
            <w:tcMar>
              <w:top w:type="dxa" w:w="45"/>
              <w:left w:type="dxa" w:w="85"/>
              <w:bottom w:type="dxa" w:w="45"/>
              <w:right w:type="dxa" w:w="85"/>
            </w:tcMar>
          </w:tcPr>
          <w:p>
            <w:pPr>
              <w:spacing w:after="0"/>
            </w:pPr>
            <w:r>
              <w:t>Trennung zwischen den Tops</w:t>
            </w:r>
          </w:p>
        </w:tc>
        <w:tc>
          <w:tcPr>
            <w:tcW w:type="dxa" w:w="3600"/>
            <w:shd w:fill="F2F5FA" w:val="clear"/>
            <w:tcMar>
              <w:top w:type="dxa" w:w="45"/>
              <w:left w:type="dxa" w:w="85"/>
              <w:bottom w:type="dxa" w:w="45"/>
              <w:right w:type="dxa" w:w="85"/>
            </w:tcMar>
          </w:tcPr>
          <w:p>
            <w:pPr>
              <w:spacing w:after="0"/>
            </w:pPr>
            <w:r>
              <w:rPr>
                <w:b w:val="false"/>
                <w:bCs w:val="false"/>
                <w:i w:val="false"/>
                <w:iCs w:val="false"/>
              </w:rPr>
            </w:r>
          </w:p>
        </w:tc>
        <w:tc>
          <w:tcPr>
            <w:tcW w:type="dxa" w:w="4000"/>
            <w:shd w:fill="F2F5FA" w:val="clear"/>
            <w:tcMar>
              <w:top w:type="dxa" w:w="45"/>
              <w:left w:type="dxa" w:w="85"/>
              <w:bottom w:type="dxa" w:w="45"/>
              <w:right w:type="dxa" w:w="85"/>
            </w:tcMar>
          </w:tcPr>
          <w:p>
            <w:pPr>
              <w:spacing w:after="0"/>
            </w:pPr>
            <w:r>
              <w:t>Maisonette: die Wand LÄUFT im DG2 identisch WEITER, exakt fluchtend</w:t>
            </w:r>
          </w:p>
        </w:tc>
      </w:tr>
      <w:tr>
        <w:tc>
          <w:tcPr>
            <w:tcW w:type="dxa" w:w="1700"/>
            <w:tcMar>
              <w:top w:type="dxa" w:w="45"/>
              <w:left w:type="dxa" w:w="85"/>
              <w:bottom w:type="dxa" w:w="45"/>
              <w:right w:type="dxa" w:w="85"/>
            </w:tcMar>
          </w:tcPr>
          <w:p>
            <w:pPr>
              <w:spacing w:after="0"/>
            </w:pPr>
            <w:r>
              <w:t>Stiegenhaus</w:t>
            </w:r>
          </w:p>
        </w:tc>
        <w:tc>
          <w:tcPr>
            <w:tcW w:type="dxa" w:w="3600"/>
            <w:tcMar>
              <w:top w:type="dxa" w:w="45"/>
              <w:left w:type="dxa" w:w="85"/>
              <w:bottom w:type="dxa" w:w="45"/>
              <w:right w:type="dxa" w:w="85"/>
            </w:tcMar>
          </w:tcPr>
          <w:p>
            <w:pPr>
              <w:spacing w:after="0"/>
            </w:pPr>
            <w:r>
              <w:rPr>
                <w:b w:val="false"/>
                <w:bCs w:val="false"/>
                <w:i w:val="false"/>
                <w:iCs w:val="false"/>
              </w:rPr>
            </w:r>
          </w:p>
        </w:tc>
        <w:tc>
          <w:tcPr>
            <w:tcW w:type="dxa" w:w="4000"/>
            <w:tcMar>
              <w:top w:type="dxa" w:w="45"/>
              <w:left w:type="dxa" w:w="85"/>
              <w:bottom w:type="dxa" w:w="45"/>
              <w:right w:type="dxa" w:w="85"/>
            </w:tcMar>
          </w:tcPr>
          <w:p>
            <w:pPr>
              <w:spacing w:after="0"/>
            </w:pPr>
            <w:r>
              <w:t>das Stiegenhaus wird gemäß Bewilligung auf 120 cm verbreitert</w:t>
            </w:r>
          </w:p>
        </w:tc>
      </w:tr>
      <w:tr>
        <w:tc>
          <w:tcPr>
            <w:tcW w:type="dxa" w:w="1700"/>
            <w:shd w:fill="F2F5FA" w:val="clear"/>
            <w:tcMar>
              <w:top w:type="dxa" w:w="45"/>
              <w:left w:type="dxa" w:w="85"/>
              <w:bottom w:type="dxa" w:w="45"/>
              <w:right w:type="dxa" w:w="85"/>
            </w:tcMar>
          </w:tcPr>
          <w:p>
            <w:pPr>
              <w:spacing w:after="0"/>
            </w:pPr>
            <w:r>
              <w:t>Kamine</w:t>
            </w:r>
          </w:p>
        </w:tc>
        <w:tc>
          <w:tcPr>
            <w:tcW w:type="dxa" w:w="3600"/>
            <w:shd w:fill="F2F5FA" w:val="clear"/>
            <w:tcMar>
              <w:top w:type="dxa" w:w="45"/>
              <w:left w:type="dxa" w:w="85"/>
              <w:bottom w:type="dxa" w:w="45"/>
              <w:right w:type="dxa" w:w="85"/>
            </w:tcMar>
          </w:tcPr>
          <w:p>
            <w:pPr>
              <w:spacing w:after="0"/>
            </w:pPr>
            <w:r>
              <w:rPr>
                <w:b w:val="false"/>
                <w:bCs w:val="false"/>
                <w:i w:val="false"/>
                <w:iCs w:val="false"/>
              </w:rPr>
            </w:r>
          </w:p>
        </w:tc>
        <w:tc>
          <w:tcPr>
            <w:tcW w:type="dxa" w:w="4000"/>
            <w:shd w:fill="F2F5FA" w:val="clear"/>
            <w:tcMar>
              <w:top w:type="dxa" w:w="45"/>
              <w:left w:type="dxa" w:w="85"/>
              <w:bottom w:type="dxa" w:w="45"/>
              <w:right w:type="dxa" w:w="85"/>
            </w:tcMar>
          </w:tcPr>
          <w:p>
            <w:pPr>
              <w:spacing w:after="0"/>
            </w:pPr>
            <w:r>
              <w:t>wird erhalten und beplankt; wird nicht verschlossen</w:t>
            </w:r>
          </w:p>
        </w:tc>
      </w:tr>
      <w:tr>
        <w:tc>
          <w:tcPr>
            <w:tcW w:type="dxa" w:w="1700"/>
            <w:tcMar>
              <w:top w:type="dxa" w:w="45"/>
              <w:left w:type="dxa" w:w="85"/>
              <w:bottom w:type="dxa" w:w="45"/>
              <w:right w:type="dxa" w:w="85"/>
            </w:tcMar>
          </w:tcPr>
          <w:p>
            <w:pPr>
              <w:spacing w:after="0"/>
            </w:pPr>
            <w:r>
              <w:t>Aufzug</w:t>
            </w:r>
          </w:p>
        </w:tc>
        <w:tc>
          <w:tcPr>
            <w:tcW w:type="dxa" w:w="3600"/>
            <w:tcMar>
              <w:top w:type="dxa" w:w="45"/>
              <w:left w:type="dxa" w:w="85"/>
              <w:bottom w:type="dxa" w:w="45"/>
              <w:right w:type="dxa" w:w="85"/>
            </w:tcMar>
          </w:tcPr>
          <w:p>
            <w:pPr>
              <w:spacing w:after="0"/>
            </w:pPr>
            <w:r>
              <w:rPr>
                <w:b w:val="false"/>
                <w:bCs w:val="false"/>
                <w:i w:val="false"/>
                <w:iCs w:val="false"/>
              </w:rPr>
            </w:r>
          </w:p>
        </w:tc>
        <w:tc>
          <w:tcPr>
            <w:tcW w:type="dxa" w:w="4000"/>
            <w:tcMar>
              <w:top w:type="dxa" w:w="45"/>
              <w:left w:type="dxa" w:w="85"/>
              <w:bottom w:type="dxa" w:w="45"/>
              <w:right w:type="dxa" w:w="85"/>
            </w:tcMar>
          </w:tcPr>
          <w:p>
            <w:pPr>
              <w:spacing w:after="0"/>
            </w:pPr>
            <w:r>
              <w:t>keine wärme-/schallschutztechnischen Anforderungen laut BO</w:t>
            </w:r>
          </w:p>
        </w:tc>
      </w:tr>
      <w:tr>
        <w:tc>
          <w:tcPr>
            <w:tcW w:type="dxa" w:w="1700"/>
            <w:shd w:fill="F2F5FA" w:val="clear"/>
            <w:tcMar>
              <w:top w:type="dxa" w:w="45"/>
              <w:left w:type="dxa" w:w="85"/>
              <w:bottom w:type="dxa" w:w="45"/>
              <w:right w:type="dxa" w:w="85"/>
            </w:tcMar>
          </w:tcPr>
          <w:p>
            <w:pPr>
              <w:spacing w:after="0"/>
            </w:pPr>
            <w:r>
              <w:t>Inneres der Einheit</w:t>
            </w:r>
          </w:p>
        </w:tc>
        <w:tc>
          <w:tcPr>
            <w:tcW w:type="dxa" w:w="3600"/>
            <w:shd w:fill="F2F5FA" w:val="clear"/>
            <w:tcMar>
              <w:top w:type="dxa" w:w="45"/>
              <w:left w:type="dxa" w:w="85"/>
              <w:bottom w:type="dxa" w:w="45"/>
              <w:right w:type="dxa" w:w="85"/>
            </w:tcMar>
          </w:tcPr>
          <w:p>
            <w:pPr>
              <w:spacing w:after="0"/>
            </w:pPr>
            <w:r>
              <w:rPr>
                <w:b w:val="false"/>
                <w:bCs w:val="false"/>
                <w:i w:val="false"/>
                <w:iCs w:val="false"/>
              </w:rPr>
            </w:r>
          </w:p>
        </w:tc>
        <w:tc>
          <w:tcPr>
            <w:tcW w:type="dxa" w:w="4000"/>
            <w:shd w:fill="F2F5FA" w:val="clear"/>
            <w:tcMar>
              <w:top w:type="dxa" w:w="45"/>
              <w:left w:type="dxa" w:w="85"/>
              <w:bottom w:type="dxa" w:w="45"/>
              <w:right w:type="dxa" w:w="85"/>
            </w:tcMar>
          </w:tcPr>
          <w:p>
            <w:pPr>
              <w:spacing w:after="0"/>
            </w:pPr>
            <w:r>
              <w:t>GKF/GKFi bei Wänden mit Brandschutzanforderungen</w:t>
            </w:r>
          </w:p>
        </w:tc>
      </w:tr>
      <w:tr>
        <w:tc>
          <w:tcPr>
            <w:tcW w:type="dxa" w:w="1700"/>
            <w:tcMar>
              <w:top w:type="dxa" w:w="45"/>
              <w:left w:type="dxa" w:w="85"/>
              <w:bottom w:type="dxa" w:w="45"/>
              <w:right w:type="dxa" w:w="85"/>
            </w:tcMar>
          </w:tcPr>
          <w:p>
            <w:pPr>
              <w:spacing w:after="0"/>
            </w:pPr>
            <w:r>
              <w:t>Decke unter Niveau</w:t>
            </w:r>
          </w:p>
        </w:tc>
        <w:tc>
          <w:tcPr>
            <w:tcW w:type="dxa" w:w="3600"/>
            <w:tcMar>
              <w:top w:type="dxa" w:w="45"/>
              <w:left w:type="dxa" w:w="85"/>
              <w:bottom w:type="dxa" w:w="45"/>
              <w:right w:type="dxa" w:w="85"/>
            </w:tcMar>
          </w:tcPr>
          <w:p>
            <w:pPr>
              <w:spacing w:after="0"/>
            </w:pPr>
            <w:r>
              <w:rPr>
                <w:b w:val="false"/>
                <w:bCs w:val="false"/>
                <w:i w:val="false"/>
                <w:iCs w:val="false"/>
              </w:rPr>
            </w:r>
          </w:p>
        </w:tc>
        <w:tc>
          <w:tcPr>
            <w:tcW w:type="dxa" w:w="4000"/>
            <w:tcMar>
              <w:top w:type="dxa" w:w="45"/>
              <w:left w:type="dxa" w:w="85"/>
              <w:bottom w:type="dxa" w:w="45"/>
              <w:right w:type="dxa" w:w="85"/>
            </w:tcMar>
          </w:tcPr>
          <w:p>
            <w:pPr>
              <w:spacing w:after="0"/>
            </w:pPr>
            <w:r>
              <w:t>die NEUE tragende Decke über dem 3. OG — Schlüsselelement der Bewilligung</w:t>
            </w:r>
          </w:p>
        </w:tc>
      </w:tr>
      <w:tr>
        <w:tc>
          <w:tcPr>
            <w:tcW w:type="dxa" w:w="1700"/>
            <w:shd w:fill="F2F5FA" w:val="clear"/>
            <w:tcMar>
              <w:top w:type="dxa" w:w="45"/>
              <w:left w:type="dxa" w:w="85"/>
              <w:bottom w:type="dxa" w:w="45"/>
              <w:right w:type="dxa" w:w="85"/>
            </w:tcMar>
          </w:tcPr>
          <w:p>
            <w:pPr>
              <w:spacing w:after="0"/>
            </w:pPr>
            <w:r>
              <w:t>Nummerierung</w:t>
            </w:r>
          </w:p>
        </w:tc>
        <w:tc>
          <w:tcPr>
            <w:tcW w:type="dxa" w:w="3600"/>
            <w:shd w:fill="F2F5FA" w:val="clear"/>
            <w:tcMar>
              <w:top w:type="dxa" w:w="45"/>
              <w:left w:type="dxa" w:w="85"/>
              <w:bottom w:type="dxa" w:w="45"/>
              <w:right w:type="dxa" w:w="85"/>
            </w:tcMar>
          </w:tcPr>
          <w:p>
            <w:pPr>
              <w:spacing w:after="0"/>
            </w:pPr>
            <w:r>
              <w:t>Die Tops werden an den Konsens angeglichen: Top 20–23 (nicht 8–11)</w:t>
            </w:r>
            <w:r>
              <w:rPr>
                <w:b/>
                <w:bCs/>
                <w:i w:val="false"/>
                <w:iCs w:val="false"/>
              </w:rPr>
            </w:r>
            <w:r/>
          </w:p>
        </w:tc>
        <w:tc>
          <w:tcPr>
            <w:tcW w:type="dxa" w:w="4000"/>
            <w:shd w:fill="F2F5FA" w:val="clear"/>
            <w:tcMar>
              <w:top w:type="dxa" w:w="45"/>
              <w:left w:type="dxa" w:w="85"/>
              <w:bottom w:type="dxa" w:w="45"/>
              <w:right w:type="dxa" w:w="85"/>
            </w:tcMar>
          </w:tcPr>
          <w:p>
            <w:pPr>
              <w:spacing w:after="0"/>
            </w:pPr>
            <w:r>
              <w:t>siehe kritische Feststellung 0.1</w:t>
            </w:r>
          </w:p>
        </w:tc>
      </w:tr>
    </w:tbl>
    <w:p>
      <w:pPr>
        <w:pStyle w:val="Heading1"/>
      </w:pPr>
      <w:r>
        <w:t>5. IT05 / Plan Dachgeschoss 2 — DACHGESCHOSS 2 (2.DG, +17,28)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1F3864" w:val="clear"/>
            <w:tcMar>
              <w:top w:type="dxa" w:w="45"/>
              <w:left w:type="dxa" w:w="85"/>
              <w:bottom w:type="dxa" w:w="45"/>
              <w:right w:type="dxa" w:w="85"/>
            </w:tcMar>
          </w:tcPr>
          <w:p>
            <w:pPr>
              <w:spacing w:after="0"/>
            </w:pPr>
            <w:r>
              <w:rPr>
                <w:b/>
                <w:bCs/>
                <w:color w:val="FFFFFF"/>
                <w:sz w:val="18"/>
                <w:szCs w:val="18"/>
              </w:rPr>
              <w:t xml:space="preserve">Element</w:t>
            </w:r>
          </w:p>
        </w:tc>
        <w:tc>
          <w:tcPr>
            <w:tcW w:type="dxa" w:w="3600"/>
            <w:shd w:fill="1F3864" w:val="clear"/>
            <w:tcMar>
              <w:top w:type="dxa" w:w="45"/>
              <w:left w:type="dxa" w:w="85"/>
              <w:bottom w:type="dxa" w:w="45"/>
              <w:right w:type="dxa" w:w="85"/>
            </w:tcMar>
          </w:tcPr>
          <w:p>
            <w:pPr>
              <w:spacing w:after="0"/>
            </w:pPr>
            <w:r>
              <w:rPr>
                <w:b/>
                <w:bCs/>
                <w:color w:val="FFFFFF"/>
                <w:sz w:val="18"/>
                <w:szCs w:val="18"/>
              </w:rPr>
              <w:t>Die Lösung</w:t>
            </w:r>
          </w:p>
        </w:tc>
        <w:tc>
          <w:tcPr>
            <w:tcW w:type="dxa" w:w="4000"/>
            <w:shd w:fill="1F3864" w:val="clear"/>
            <w:tcMar>
              <w:top w:type="dxa" w:w="45"/>
              <w:left w:type="dxa" w:w="85"/>
              <w:bottom w:type="dxa" w:w="45"/>
              <w:right w:type="dxa" w:w="85"/>
            </w:tcMar>
          </w:tcPr>
          <w:p>
            <w:pPr>
              <w:spacing w:after="0"/>
            </w:pPr>
            <w:r>
              <w:rPr>
                <w:b/>
                <w:bCs/>
                <w:color w:val="FFFFFF"/>
                <w:sz w:val="18"/>
                <w:szCs w:val="18"/>
              </w:rPr>
              <w:t>Verarbeitungshinweise</w:t>
            </w:r>
          </w:p>
        </w:tc>
      </w:tr>
      <w:tr>
        <w:tc>
          <w:tcPr>
            <w:tcW w:type="dxa" w:w="1700"/>
            <w:tcMar>
              <w:top w:type="dxa" w:w="45"/>
              <w:left w:type="dxa" w:w="85"/>
              <w:bottom w:type="dxa" w:w="45"/>
              <w:right w:type="dxa" w:w="85"/>
            </w:tcMar>
          </w:tcPr>
          <w:p>
            <w:pPr>
              <w:spacing w:after="0"/>
            </w:pPr>
            <w:r>
              <w:t>STRASSE — unten</w:t>
            </w:r>
          </w:p>
        </w:tc>
        <w:tc>
          <w:tcPr>
            <w:tcW w:type="dxa" w:w="3600"/>
            <w:tcMar>
              <w:top w:type="dxa" w:w="45"/>
              <w:left w:type="dxa" w:w="85"/>
              <w:bottom w:type="dxa" w:w="45"/>
              <w:right w:type="dxa" w:w="85"/>
            </w:tcMar>
          </w:tcPr>
          <w:p>
            <w:pPr>
              <w:spacing w:after="0"/>
            </w:pPr>
            <w:r>
              <w:rPr>
                <w:b w:val="false"/>
                <w:bCs w:val="false"/>
                <w:i w:val="false"/>
                <w:iCs w:val="false"/>
              </w:rPr>
            </w:r>
          </w:p>
        </w:tc>
        <w:tc>
          <w:tcPr>
            <w:tcW w:type="dxa" w:w="4000"/>
            <w:tcMar>
              <w:top w:type="dxa" w:w="45"/>
              <w:left w:type="dxa" w:w="85"/>
              <w:bottom w:type="dxa" w:w="45"/>
              <w:right w:type="dxa" w:w="85"/>
            </w:tcMar>
          </w:tcPr>
          <w:p>
            <w:pPr>
              <w:spacing w:after="0"/>
            </w:pPr>
            <w:r>
              <w:t>Gaubenlängen durch die Bewilligung begrenzt (1/3 der Front); Rw 50</w:t>
            </w:r>
          </w:p>
        </w:tc>
      </w:tr>
      <w:tr>
        <w:tc>
          <w:tcPr>
            <w:tcW w:type="dxa" w:w="1700"/>
            <w:shd w:fill="F2F5FA" w:val="clear"/>
            <w:tcMar>
              <w:top w:type="dxa" w:w="45"/>
              <w:left w:type="dxa" w:w="85"/>
              <w:bottom w:type="dxa" w:w="45"/>
              <w:right w:type="dxa" w:w="85"/>
            </w:tcMar>
          </w:tcPr>
          <w:p>
            <w:pPr>
              <w:spacing w:after="0"/>
            </w:pPr>
            <w:r>
              <w:t>HOF — oben</w:t>
            </w:r>
          </w:p>
        </w:tc>
        <w:tc>
          <w:tcPr>
            <w:tcW w:type="dxa" w:w="3600"/>
            <w:shd w:fill="F2F5FA" w:val="clear"/>
            <w:tcMar>
              <w:top w:type="dxa" w:w="45"/>
              <w:left w:type="dxa" w:w="85"/>
              <w:bottom w:type="dxa" w:w="45"/>
              <w:right w:type="dxa" w:w="85"/>
            </w:tcMar>
          </w:tcPr>
          <w:p>
            <w:pPr>
              <w:spacing w:after="0"/>
            </w:pPr>
            <w:r>
              <w:rPr>
                <w:b w:val="false"/>
                <w:bCs w:val="false"/>
                <w:i w:val="false"/>
                <w:iCs w:val="false"/>
              </w:rPr>
            </w:r>
          </w:p>
        </w:tc>
        <w:tc>
          <w:tcPr>
            <w:tcW w:type="dxa" w:w="4000"/>
            <w:shd w:fill="F2F5FA" w:val="clear"/>
            <w:tcMar>
              <w:top w:type="dxa" w:w="45"/>
              <w:left w:type="dxa" w:w="85"/>
              <w:bottom w:type="dxa" w:w="45"/>
              <w:right w:type="dxa" w:w="85"/>
            </w:tcMar>
          </w:tcPr>
          <w:p>
            <w:pPr>
              <w:spacing w:after="0"/>
            </w:pPr>
            <w:r>
              <w:t>Holzriegelkonstruktion im Terrassenbereich gemäß genehmigtem Plan</w:t>
            </w:r>
          </w:p>
        </w:tc>
      </w:tr>
      <w:tr>
        <w:tc>
          <w:tcPr>
            <w:tcW w:type="dxa" w:w="1700"/>
            <w:tcMar>
              <w:top w:type="dxa" w:w="45"/>
              <w:left w:type="dxa" w:w="85"/>
              <w:bottom w:type="dxa" w:w="45"/>
              <w:right w:type="dxa" w:w="85"/>
            </w:tcMar>
          </w:tcPr>
          <w:p>
            <w:pPr>
              <w:spacing w:after="0"/>
            </w:pPr>
            <w:r>
              <w:t>Feuermauern</w:t>
            </w:r>
          </w:p>
        </w:tc>
        <w:tc>
          <w:tcPr>
            <w:tcW w:type="dxa" w:w="3600"/>
            <w:tcMar>
              <w:top w:type="dxa" w:w="45"/>
              <w:left w:type="dxa" w:w="85"/>
              <w:bottom w:type="dxa" w:w="45"/>
              <w:right w:type="dxa" w:w="85"/>
            </w:tcMar>
          </w:tcPr>
          <w:p>
            <w:pPr>
              <w:spacing w:after="0"/>
            </w:pPr>
            <w:r>
              <w:rPr>
                <w:b w:val="false"/>
                <w:bCs w:val="false"/>
                <w:i w:val="false"/>
                <w:iCs w:val="false"/>
              </w:rPr>
            </w:r>
          </w:p>
        </w:tc>
        <w:tc>
          <w:tcPr>
            <w:tcW w:type="dxa" w:w="4000"/>
            <w:tcMar>
              <w:top w:type="dxa" w:w="45"/>
              <w:left w:type="dxa" w:w="85"/>
              <w:bottom w:type="dxa" w:w="45"/>
              <w:right w:type="dxa" w:w="85"/>
            </w:tcMar>
          </w:tcPr>
          <w:p>
            <w:pPr>
              <w:spacing w:after="0"/>
            </w:pPr>
            <w:r>
              <w:t>unterscheidet sich von DG1 (dort AW03a auf Bestand)!</w:t>
            </w:r>
          </w:p>
        </w:tc>
      </w:tr>
      <w:tr>
        <w:tc>
          <w:tcPr>
            <w:tcW w:type="dxa" w:w="1700"/>
            <w:shd w:fill="F2F5FA" w:val="clear"/>
            <w:tcMar>
              <w:top w:type="dxa" w:w="45"/>
              <w:left w:type="dxa" w:w="85"/>
              <w:bottom w:type="dxa" w:w="45"/>
              <w:right w:type="dxa" w:w="85"/>
            </w:tcMar>
          </w:tcPr>
          <w:p>
            <w:pPr>
              <w:spacing w:after="0"/>
            </w:pPr>
            <w:r>
              <w:t>Trennung der Tops</w:t>
            </w:r>
          </w:p>
        </w:tc>
        <w:tc>
          <w:tcPr>
            <w:tcW w:type="dxa" w:w="3600"/>
            <w:shd w:fill="F2F5FA" w:val="clear"/>
            <w:tcMar>
              <w:top w:type="dxa" w:w="45"/>
              <w:left w:type="dxa" w:w="85"/>
              <w:bottom w:type="dxa" w:w="45"/>
              <w:right w:type="dxa" w:w="85"/>
            </w:tcMar>
          </w:tcPr>
          <w:p>
            <w:pPr>
              <w:spacing w:after="0"/>
            </w:pPr>
            <w:r>
              <w:rPr>
                <w:b w:val="false"/>
                <w:bCs w:val="false"/>
                <w:i w:val="false"/>
                <w:iCs w:val="false"/>
              </w:rPr>
            </w:r>
          </w:p>
        </w:tc>
        <w:tc>
          <w:tcPr>
            <w:tcW w:type="dxa" w:w="4000"/>
            <w:shd w:fill="F2F5FA" w:val="clear"/>
            <w:tcMar>
              <w:top w:type="dxa" w:w="45"/>
              <w:left w:type="dxa" w:w="85"/>
              <w:bottom w:type="dxa" w:w="45"/>
              <w:right w:type="dxa" w:w="85"/>
            </w:tcMar>
          </w:tcPr>
          <w:p>
            <w:pPr>
              <w:spacing w:after="0"/>
            </w:pPr>
            <w:r>
              <w:t>jeder Versatz = statische + akustische Probleme</w:t>
            </w:r>
          </w:p>
        </w:tc>
      </w:tr>
      <w:tr>
        <w:tc>
          <w:tcPr>
            <w:tcW w:type="dxa" w:w="1700"/>
            <w:tcMar>
              <w:top w:type="dxa" w:w="45"/>
              <w:left w:type="dxa" w:w="85"/>
              <w:bottom w:type="dxa" w:w="45"/>
              <w:right w:type="dxa" w:w="85"/>
            </w:tcMar>
          </w:tcPr>
          <w:p>
            <w:pPr>
              <w:spacing w:after="0"/>
            </w:pPr>
            <w:r>
              <w:t>Decke DG1/DG2</w:t>
            </w:r>
          </w:p>
        </w:tc>
        <w:tc>
          <w:tcPr>
            <w:tcW w:type="dxa" w:w="3600"/>
            <w:tcMar>
              <w:top w:type="dxa" w:w="45"/>
              <w:left w:type="dxa" w:w="85"/>
              <w:bottom w:type="dxa" w:w="45"/>
              <w:right w:type="dxa" w:w="85"/>
            </w:tcMar>
          </w:tcPr>
          <w:p>
            <w:pPr>
              <w:spacing w:after="0"/>
            </w:pPr>
            <w:r>
              <w:rPr>
                <w:b w:val="false"/>
                <w:bCs w:val="false"/>
                <w:i w:val="false"/>
                <w:iCs w:val="false"/>
              </w:rPr>
            </w:r>
          </w:p>
        </w:tc>
        <w:tc>
          <w:tcPr>
            <w:tcW w:type="dxa" w:w="4000"/>
            <w:tcMar>
              <w:top w:type="dxa" w:w="45"/>
              <w:left w:type="dxa" w:w="85"/>
              <w:bottom w:type="dxa" w:w="45"/>
              <w:right w:type="dxa" w:w="85"/>
            </w:tcMar>
          </w:tcPr>
          <w:p>
            <w:pPr>
              <w:spacing w:after="0"/>
            </w:pPr>
            <w:r>
              <w:t>innerhalb der Maisonetten; über dem Stiegenhaus: FB04 (STB + 3×GKF)</w:t>
            </w:r>
            <w:r>
              <w:rPr>
                <w:b/>
                <w:bCs/>
                <w:i w:val="false"/>
                <w:iCs w:val="false"/>
              </w:rPr>
            </w:r>
            <w:r/>
          </w:p>
        </w:tc>
      </w:tr>
      <w:tr>
        <w:tc>
          <w:tcPr>
            <w:tcW w:type="dxa" w:w="1700"/>
            <w:shd w:fill="F2F5FA" w:val="clear"/>
            <w:tcMar>
              <w:top w:type="dxa" w:w="45"/>
              <w:left w:type="dxa" w:w="85"/>
              <w:bottom w:type="dxa" w:w="45"/>
              <w:right w:type="dxa" w:w="85"/>
            </w:tcMar>
          </w:tcPr>
          <w:p>
            <w:pPr>
              <w:spacing w:after="0"/>
            </w:pPr>
            <w:r>
              <w:t>Dach/Terrassen</w:t>
            </w:r>
          </w:p>
        </w:tc>
        <w:tc>
          <w:tcPr>
            <w:tcW w:type="dxa" w:w="3600"/>
            <w:shd w:fill="F2F5FA" w:val="clear"/>
            <w:tcMar>
              <w:top w:type="dxa" w:w="45"/>
              <w:left w:type="dxa" w:w="85"/>
              <w:bottom w:type="dxa" w:w="45"/>
              <w:right w:type="dxa" w:w="85"/>
            </w:tcMar>
          </w:tcPr>
          <w:p>
            <w:pPr>
              <w:spacing w:after="0"/>
            </w:pPr>
            <w:r>
              <w:rPr>
                <w:b w:val="false"/>
                <w:bCs w:val="false"/>
                <w:i w:val="false"/>
                <w:iCs w:val="false"/>
              </w:rPr>
            </w:r>
          </w:p>
        </w:tc>
        <w:tc>
          <w:tcPr>
            <w:tcW w:type="dxa" w:w="4000"/>
            <w:shd w:fill="F2F5FA" w:val="clear"/>
            <w:tcMar>
              <w:top w:type="dxa" w:w="45"/>
              <w:left w:type="dxa" w:w="85"/>
              <w:bottom w:type="dxa" w:w="45"/>
              <w:right w:type="dxa" w:w="85"/>
            </w:tcMar>
          </w:tcPr>
          <w:p>
            <w:pPr>
              <w:spacing w:after="0"/>
            </w:pPr>
            <w:r>
              <w:t>Anschlussdetails = Leitdetails bei Mattes</w:t>
            </w:r>
          </w:p>
        </w:tc>
      </w:tr>
    </w:tbl>
    <w:p>
      <w:pPr>
        <w:pStyle w:val="Heading1"/>
      </w:pPr>
      <w:r>
        <w:t>6. Übergreifende Regeln (alle Geschosse)</w:t>
      </w:r>
    </w:p>
    <w:p>
      <w:pPr>
        <w:pStyle w:val="ListParagraph"/>
        <w:numPr>
          <w:ilvl w:val="0"/>
          <w:numId w:val="2"/>
        </w:numPr>
      </w:pPr>
      <w:r>
        <w:rPr>
          <w:b/>
          <w:bCs/>
          <w:i w:val="false"/>
          <w:iCs w:val="false"/>
        </w:rPr>
        <w:t>Vertikale Kontinuität: die Schächte SW01, die Kamine WTW05 und die WTW-Wände zwischen den Maisonetten fluchten EXAKT über alle Geschosse — Prüfung durch Übereinanderlegen der Pläne vor der Abgabe.</w:t>
      </w:r>
      <w:r/>
    </w:p>
    <w:p>
      <w:pPr>
        <w:pStyle w:val="ListParagraph"/>
        <w:numPr>
          <w:ilvl w:val="0"/>
          <w:numId w:val="2"/>
        </w:numPr>
      </w:pPr>
      <w:r>
        <w:rPr>
          <w:b/>
          <w:bCs/>
          <w:i w:val="false"/>
          <w:iCs w:val="false"/>
        </w:rPr>
        <w:t>Luftdichtheit: bei allen neuen Bauteilen der Gebäudehülle (AW01/01a/05/06, DA, FB03) ist die luftdichte Schicht (Dampfbremse sd≥100 / verklebtes OSB / Putz) DURCHGEHEND — Installationsdurchdringungen nur mit Manschetten. Anmerkung 6 auf den IT-Plänen (Schutzrohre bei Durchführungen) ist damit abzustimmen.</w:t>
      </w:r>
      <w:r/>
    </w:p>
    <w:p>
      <w:pPr>
        <w:pStyle w:val="ListParagraph"/>
        <w:numPr>
          <w:ilvl w:val="0"/>
          <w:numId w:val="2"/>
        </w:numPr>
      </w:pPr>
      <w:r>
        <w:rPr>
          <w:b/>
          <w:bCs/>
          <w:i w:val="false"/>
          <w:iCs w:val="false"/>
        </w:rPr>
        <w:t>Installationen in Wänden: In den WTW werden keine Dosen gegenüberliegend montiert (Schallschutz); in den leichten AW liegen die Installationen in der Vorsatzschale, NICHT in der luftdichten Ebene.</w:t>
      </w:r>
      <w:r/>
    </w:p>
    <w:p>
      <w:pPr>
        <w:pStyle w:val="ListParagraph"/>
        <w:numPr>
          <w:ilvl w:val="0"/>
          <w:numId w:val="2"/>
        </w:numPr>
      </w:pPr>
      <w:r>
        <w:rPr>
          <w:b/>
          <w:bCs/>
          <w:i w:val="false"/>
          <w:iCs w:val="false"/>
        </w:rPr>
        <w:t>Heizkörper unter den Fenstern (Anmerkung 3 IT): beim Drempel (AW06) berücksichtigt die Montage die Vorsatzschale; bei hinterlüfteten Wänden werden die Konsolen an den tragenden Ständern befestigt, nicht an den Platten.</w:t>
      </w:r>
      <w:r/>
    </w:p>
    <w:p>
      <w:pPr>
        <w:pStyle w:val="ListParagraph"/>
        <w:numPr>
          <w:ilvl w:val="0"/>
          <w:numId w:val="2"/>
        </w:numPr>
      </w:pPr>
      <w:r>
        <w:rPr>
          <w:b/>
          <w:bCs/>
          <w:i w:val="false"/>
          <w:iCs w:val="false"/>
        </w:rPr>
        <w:t>Bezeichnungen auf den Einreichplänen: deutsch (Zimmer, Wohnküche, Bad/WC, VR, AR...) — gem. Anforderungskatalog.</w:t>
      </w:r>
      <w:r/>
    </w:p>
    <w:p>
      <w:pPr>
        <w:pBdr>
          <w:left w:val="single" w:color="BF8F00" w:sz="22"/>
        </w:pBdr>
        <w:shd w:fill="FFF2CC" w:val="clear"/>
        <w:spacing w:after="130" w:before="100"/>
      </w:pPr>
      <w:r>
        <w:rPr>
          <w:b/>
          <w:bCs/>
          <w:i w:val="false"/>
          <w:iCs w:val="false"/>
        </w:rPr>
        <w:t>Quelldokumente in diesem Ordner / Projekt: annotierte Pläne (5 × JPG + PDF) · dieses Dokument · vollständiger Bauphysik-Katalog = PDF 12S35_EinrBPH (Kap. 2.1, Seiten 7–17) in 00.Proiect\03...\04. Bauphysik · genehmigte Pläne P2041 in 00.Proiect\01...\01. · Caiet_Cerinte_Planse_Madalina.docx · Dictionar_Termeni_DE_RO.docx.</w:t>
      </w: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90" w:line="25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30" w:before="260"/>
    </w:pPr>
    <w:rPr>
      <w:rFonts w:ascii="Calibri" w:cs="Calibri" w:eastAsia="Calibri" w:hAnsi="Calibri"/>
      <w:b/>
      <w:bCs/>
      <w:color w:val="1F3864"/>
      <w:sz w:val="26"/>
      <w:szCs w:val="26"/>
    </w:rPr>
  </w:style>
  <w:style w:type="paragraph" w:styleId="Heading2">
    <w:name w:val="Heading 2"/>
    <w:basedOn w:val="Normal"/>
    <w:next w:val="Normal"/>
    <w:qFormat/>
    <w:pPr>
      <w:spacing w:after="100" w:before="200"/>
    </w:pPr>
    <w:rPr>
      <w:rFonts w:ascii="Calibri" w:cs="Calibri" w:eastAsia="Calibri" w:hAnsi="Calibri"/>
      <w:b/>
      <w:bCs/>
      <w:color w:val="2E5496"/>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2026-07-21T14:08:29.393Z</dcterms:created>
  <dcterms:modified xsi:type="dcterms:W3CDTF">2026-07-21T14:08:29.405Z</dcterms:modified>
</cp:coreProperties>
</file>

<file path=docProps/custom.xml><?xml version="1.0" encoding="utf-8"?>
<Properties xmlns="http://schemas.openxmlformats.org/officeDocument/2006/custom-properties" xmlns:vt="http://schemas.openxmlformats.org/officeDocument/2006/docPropsVTypes"/>
</file>