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ANEXA 1</w:t>
      </w:r>
    </w:p>
    <w:p>
      <w:r>
        <w:rPr>
          <w:b/>
          <w:sz w:val="26"/>
        </w:rPr>
        <w:t>la factura nr. 1 din 29.09.2026</w:t>
      </w:r>
    </w:p>
    <w:p>
      <w:r>
        <w:rPr>
          <w:b w:val="0"/>
          <w:sz w:val="20"/>
        </w:rPr>
        <w:t>Descrierea lucrărilor manuale de întreținere și calcul orientativ al suprafețelor</w:t>
      </w:r>
    </w:p>
    <w:p>
      <w:pPr>
        <w:pStyle w:val="Heading1"/>
      </w:pPr>
      <w:r>
        <w:t>1. Datele părților și ale facturii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PRESTATOR / FURNIZOR</w:t>
            </w:r>
          </w:p>
        </w:tc>
        <w:tc>
          <w:tcPr>
            <w:tcW w:type="dxa" w:w="4932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BENEFICIAR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80" w:before="60"/>
            </w:pPr>
            <w:r>
              <w:rPr>
                <w:sz w:val="18"/>
              </w:rPr>
              <w:t>REV0 5C SRL</w:t>
              <w:br/>
              <w:t>CIF: 52226710</w:t>
              <w:br/>
              <w:t>Nr. registrul comerțului: J2025056106001</w:t>
              <w:br/>
              <w:t>Sediu: Alba Iulia, str. Septimius Severus nr. 47, bl. TOR 3, ap. 13, jud. Alba</w:t>
            </w:r>
          </w:p>
        </w:tc>
        <w:tc>
          <w:tcPr>
            <w:tcW w:type="dxa" w:w="4932"/>
          </w:tcPr>
          <w:p>
            <w:pPr>
              <w:spacing w:after="80" w:before="60"/>
            </w:pPr>
            <w:r>
              <w:rPr>
                <w:sz w:val="18"/>
              </w:rPr>
              <w:t>ASOCIAȚIA CLUB SPORTIV ACADEMIA DE FOTBAL OPTIMUM ALBA IULIA</w:t>
              <w:br/>
              <w:t>CIF: 40804594</w:t>
              <w:br/>
              <w:t>Sediu: Alba Iulia, Bld. Transilvaniei nr. 13, jud. Alba</w:t>
            </w:r>
          </w:p>
        </w:tc>
      </w:tr>
    </w:tbl>
    <w:p>
      <w:r>
        <w:rPr>
          <w:b w:val="0"/>
          <w:sz w:val="18"/>
        </w:rPr>
        <w:t>Data facturii: 29.09.2026  |  Scadență: 29.09.2026  |  Monedă: 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6293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Poziția din factură</w:t>
            </w:r>
          </w:p>
        </w:tc>
        <w:tc>
          <w:tcPr>
            <w:tcW w:type="dxa" w:w="1304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Cantitate</w:t>
            </w:r>
          </w:p>
        </w:tc>
        <w:tc>
          <w:tcPr>
            <w:tcW w:type="dxa" w:w="2268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6293"/>
          </w:tcPr>
          <w:p>
            <w:pPr>
              <w:spacing w:after="80" w:before="60"/>
            </w:pPr>
            <w:r>
              <w:rPr>
                <w:sz w:val="18"/>
              </w:rPr>
              <w:t>1 – ÎNTREȚINERE CONFORM ANEXEI 1</w:t>
            </w:r>
          </w:p>
        </w:tc>
        <w:tc>
          <w:tcPr>
            <w:tcW w:type="dxa" w:w="1304"/>
          </w:tcPr>
          <w:p>
            <w:pPr>
              <w:spacing w:after="8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80" w:before="60"/>
            </w:pPr>
            <w:r>
              <w:rPr>
                <w:sz w:val="18"/>
              </w:rPr>
              <w:t>30.000,00 lei</w:t>
            </w:r>
          </w:p>
        </w:tc>
      </w:tr>
    </w:tbl>
    <w:p>
      <w:pPr>
        <w:pStyle w:val="Heading1"/>
      </w:pPr>
      <w:r>
        <w:t>2. Obiectul anexei</w:t>
      </w:r>
    </w:p>
    <w:p>
      <w:r>
        <w:rPr>
          <w:b w:val="0"/>
        </w:rPr>
        <w:t>Întreținerea manuală a bazei sportive aflate în administrarea beneficiarului: teren de fotbal cu gazon natural, garduri, porți de acces, tribune, vestiare, alei și spații anexe.</w:t>
      </w:r>
    </w:p>
    <w:p>
      <w:r>
        <w:rPr>
          <w:b w:val="0"/>
          <w:sz w:val="18"/>
        </w:rPr>
        <w:t>Operațiunile de mai jos reprezintă lucrări care se pot executa, în funcție de starea amplasamentului. Lucrările efectiv realizate, perioada și cantitățile se confirmă de părți la finalul anexei.</w:t>
      </w:r>
    </w:p>
    <w:p>
      <w:pPr>
        <w:pStyle w:val="Heading1"/>
      </w:pPr>
      <w:r>
        <w:t>3. Lucrări manuale de întreținere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928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Zonă</w:t>
            </w:r>
          </w:p>
        </w:tc>
        <w:tc>
          <w:tcPr>
            <w:tcW w:type="dxa" w:w="7937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Operațiuni posibile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60"/>
            </w:pPr>
            <w:r>
              <w:rPr>
                <w:sz w:val="18"/>
              </w:rPr>
              <w:t>Gazon – curățare</w:t>
            </w:r>
          </w:p>
        </w:tc>
        <w:tc>
          <w:tcPr>
            <w:tcW w:type="dxa" w:w="7937"/>
          </w:tcPr>
          <w:p>
            <w:pPr>
              <w:spacing w:after="80" w:before="60"/>
            </w:pPr>
            <w:r>
              <w:rPr>
                <w:sz w:val="18"/>
              </w:rPr>
              <w:t>Strângerea deșeurilor, pietrelor și crengilor; greblarea frunzelor și a resturilor vegetale; plivirea manuală a buruienilor.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60"/>
            </w:pPr>
            <w:r>
              <w:rPr>
                <w:sz w:val="18"/>
              </w:rPr>
              <w:t>Gazon – refaceri locale</w:t>
            </w:r>
          </w:p>
        </w:tc>
        <w:tc>
          <w:tcPr>
            <w:tcW w:type="dxa" w:w="7937"/>
          </w:tcPr>
          <w:p>
            <w:pPr>
              <w:spacing w:after="80" w:before="60"/>
            </w:pPr>
            <w:r>
              <w:rPr>
                <w:sz w:val="18"/>
              </w:rPr>
              <w:t>Reașezarea și tasarea ușoară a brazdelor desprinse; completarea locală a denivelărilor cu amestec adecvat de nisip și pământ; supraînsămânțarea manuală a zonelor rare; udarea locală.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60"/>
            </w:pPr>
            <w:r>
              <w:rPr>
                <w:sz w:val="18"/>
              </w:rPr>
              <w:t>Gazon – margini</w:t>
            </w:r>
          </w:p>
        </w:tc>
        <w:tc>
          <w:tcPr>
            <w:tcW w:type="dxa" w:w="7937"/>
          </w:tcPr>
          <w:p>
            <w:pPr>
              <w:spacing w:after="80" w:before="60"/>
            </w:pPr>
            <w:r>
              <w:rPr>
                <w:sz w:val="18"/>
              </w:rPr>
              <w:t>Finisarea marginilor cu foarfecă manuală; aerarea punctuală cu furca în zonele compactate; distribuirea manuală a materialelor de întreținere, după necesitate.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60"/>
            </w:pPr>
            <w:r>
              <w:rPr>
                <w:sz w:val="18"/>
              </w:rPr>
              <w:t>Garduri și acces</w:t>
            </w:r>
          </w:p>
        </w:tc>
        <w:tc>
          <w:tcPr>
            <w:tcW w:type="dxa" w:w="7937"/>
          </w:tcPr>
          <w:p>
            <w:pPr>
              <w:spacing w:after="80" w:before="60"/>
            </w:pPr>
            <w:r>
              <w:rPr>
                <w:sz w:val="18"/>
              </w:rPr>
              <w:t>Îndepărtarea vegetației de la baza gardului; curățarea plasei și stâlpilor; strângerea prinderilor; refixarea locală a plasei; curățarea ruginii și retușuri cu pensula; ungerea balamalelor.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60"/>
            </w:pPr>
            <w:r>
              <w:rPr>
                <w:sz w:val="18"/>
              </w:rPr>
              <w:t>Tribune</w:t>
            </w:r>
          </w:p>
        </w:tc>
        <w:tc>
          <w:tcPr>
            <w:tcW w:type="dxa" w:w="7937"/>
          </w:tcPr>
          <w:p>
            <w:pPr>
              <w:spacing w:after="80" w:before="60"/>
            </w:pPr>
            <w:r>
              <w:rPr>
                <w:sz w:val="18"/>
              </w:rPr>
              <w:t>Măturarea treptelor și zonelor de acces; spălarea băncilor sau scaunelor; colectarea deșeurilor; îndepărtarea buruienilor; strângerea prinderilor accesibile; curățarea balustradelor, șlefuire manuală și retușuri de vopsire.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60"/>
            </w:pPr>
            <w:r>
              <w:rPr>
                <w:sz w:val="18"/>
              </w:rPr>
              <w:t>Vestiare și anexe</w:t>
            </w:r>
          </w:p>
        </w:tc>
        <w:tc>
          <w:tcPr>
            <w:tcW w:type="dxa" w:w="7937"/>
          </w:tcPr>
          <w:p>
            <w:pPr>
              <w:spacing w:after="80" w:before="60"/>
            </w:pPr>
            <w:r>
              <w:rPr>
                <w:sz w:val="18"/>
              </w:rPr>
              <w:t>Măturarea și spălarea pardoselilor; curățarea băncilor, dulapurilor, ușilor și geamurilor; igienizarea dușurilor și grupurilor sanitare; strângerea accesoriilor și retușuri locale de zugrăveală.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60"/>
            </w:pPr>
            <w:r>
              <w:rPr>
                <w:sz w:val="18"/>
              </w:rPr>
              <w:t>Alei și dotări</w:t>
            </w:r>
          </w:p>
        </w:tc>
        <w:tc>
          <w:tcPr>
            <w:tcW w:type="dxa" w:w="7937"/>
          </w:tcPr>
          <w:p>
            <w:pPr>
              <w:spacing w:after="80" w:before="60"/>
            </w:pPr>
            <w:r>
              <w:rPr>
                <w:sz w:val="18"/>
              </w:rPr>
              <w:t>Măturarea aleilor; plivirea rosturilor; colectarea și transportul manual al resturilor la punctul de colectare; curățarea băncilor de rezerve și a porților de joc; refixarea locală a plaselor.</w:t>
            </w:r>
          </w:p>
        </w:tc>
      </w:tr>
    </w:tbl>
    <w:p>
      <w:r>
        <w:br w:type="page"/>
      </w:r>
    </w:p>
    <w:p>
      <w:pPr>
        <w:pStyle w:val="Heading1"/>
      </w:pPr>
      <w:r>
        <w:t>4. Calcul orientativ – terenul de fotbal</w:t>
      </w:r>
    </w:p>
    <w:p>
      <w:r>
        <w:rPr>
          <w:b w:val="0"/>
        </w:rPr>
        <w:t>Ipoteză de calcul: teren dreptunghiular cu lungimea de 105 m și lățimea de 68 m, dimensiuni recomandate de FIFA. Dimensiunile reale ale bazei sportive nu sunt precizate în factura consultată.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458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572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Calcul</w:t>
            </w:r>
          </w:p>
        </w:tc>
        <w:tc>
          <w:tcPr>
            <w:tcW w:type="dxa" w:w="2835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Rezultat orientativ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Suprafața terenului de joc</w:t>
            </w:r>
          </w:p>
        </w:tc>
        <w:tc>
          <w:tcPr>
            <w:tcW w:type="dxa" w:w="3572"/>
          </w:tcPr>
          <w:p>
            <w:pPr>
              <w:spacing w:after="80" w:before="60"/>
            </w:pPr>
            <w:r>
              <w:rPr>
                <w:sz w:val="18"/>
              </w:rPr>
              <w:t>105 m × 68 m</w:t>
            </w:r>
          </w:p>
        </w:tc>
        <w:tc>
          <w:tcPr>
            <w:tcW w:type="dxa" w:w="2835"/>
          </w:tcPr>
          <w:p>
            <w:pPr>
              <w:spacing w:after="80" w:before="60"/>
            </w:pPr>
            <w:r>
              <w:rPr>
                <w:sz w:val="18"/>
              </w:rPr>
              <w:t>7.140 m²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Suprafața în hectare</w:t>
            </w:r>
          </w:p>
        </w:tc>
        <w:tc>
          <w:tcPr>
            <w:tcW w:type="dxa" w:w="3572"/>
          </w:tcPr>
          <w:p>
            <w:pPr>
              <w:spacing w:after="80" w:before="60"/>
            </w:pPr>
            <w:r>
              <w:rPr>
                <w:sz w:val="18"/>
              </w:rPr>
              <w:t>7.140 m² ÷ 10.000</w:t>
            </w:r>
          </w:p>
        </w:tc>
        <w:tc>
          <w:tcPr>
            <w:tcW w:type="dxa" w:w="2835"/>
          </w:tcPr>
          <w:p>
            <w:pPr>
              <w:spacing w:after="80" w:before="60"/>
            </w:pPr>
            <w:r>
              <w:rPr>
                <w:sz w:val="18"/>
              </w:rPr>
              <w:t>0,714 ha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Perimetrul terenului de joc</w:t>
            </w:r>
          </w:p>
        </w:tc>
        <w:tc>
          <w:tcPr>
            <w:tcW w:type="dxa" w:w="3572"/>
          </w:tcPr>
          <w:p>
            <w:pPr>
              <w:spacing w:after="80" w:before="60"/>
            </w:pPr>
            <w:r>
              <w:rPr>
                <w:sz w:val="18"/>
              </w:rPr>
              <w:t>2 × (105 m + 68 m)</w:t>
            </w:r>
          </w:p>
        </w:tc>
        <w:tc>
          <w:tcPr>
            <w:tcW w:type="dxa" w:w="2835"/>
          </w:tcPr>
          <w:p>
            <w:pPr>
              <w:spacing w:after="80" w:before="60"/>
            </w:pPr>
            <w:r>
              <w:rPr>
                <w:sz w:val="18"/>
              </w:rPr>
              <w:t>346 m liniari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Exemplu: bandă exterioară de 2 m</w:t>
            </w:r>
          </w:p>
        </w:tc>
        <w:tc>
          <w:tcPr>
            <w:tcW w:type="dxa" w:w="3572"/>
          </w:tcPr>
          <w:p>
            <w:pPr>
              <w:spacing w:after="80" w:before="60"/>
            </w:pPr>
            <w:r>
              <w:rPr>
                <w:sz w:val="18"/>
              </w:rPr>
              <w:t>(105 + 4) × (68 + 4)</w:t>
            </w:r>
          </w:p>
        </w:tc>
        <w:tc>
          <w:tcPr>
            <w:tcW w:type="dxa" w:w="2835"/>
          </w:tcPr>
          <w:p>
            <w:pPr>
              <w:spacing w:after="80" w:before="60"/>
            </w:pPr>
            <w:r>
              <w:rPr>
                <w:sz w:val="18"/>
              </w:rPr>
              <w:t>7.848 m² în total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Suprafața benzii de 2 m</w:t>
            </w:r>
          </w:p>
        </w:tc>
        <w:tc>
          <w:tcPr>
            <w:tcW w:type="dxa" w:w="3572"/>
          </w:tcPr>
          <w:p>
            <w:pPr>
              <w:spacing w:after="80" w:before="60"/>
            </w:pPr>
            <w:r>
              <w:rPr>
                <w:sz w:val="18"/>
              </w:rPr>
              <w:t>7.848 − 7.140</w:t>
            </w:r>
          </w:p>
        </w:tc>
        <w:tc>
          <w:tcPr>
            <w:tcW w:type="dxa" w:w="2835"/>
          </w:tcPr>
          <w:p>
            <w:pPr>
              <w:spacing w:after="80" w:before="60"/>
            </w:pPr>
            <w:r>
              <w:rPr>
                <w:sz w:val="18"/>
              </w:rPr>
              <w:t>708 m²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Conturul exterior al benzii</w:t>
            </w:r>
          </w:p>
        </w:tc>
        <w:tc>
          <w:tcPr>
            <w:tcW w:type="dxa" w:w="3572"/>
          </w:tcPr>
          <w:p>
            <w:pPr>
              <w:spacing w:after="80" w:before="60"/>
            </w:pPr>
            <w:r>
              <w:rPr>
                <w:sz w:val="18"/>
              </w:rPr>
              <w:t>2 × (109 m + 72 m)</w:t>
            </w:r>
          </w:p>
        </w:tc>
        <w:tc>
          <w:tcPr>
            <w:tcW w:type="dxa" w:w="2835"/>
          </w:tcPr>
          <w:p>
            <w:pPr>
              <w:spacing w:after="80" w:before="60"/>
            </w:pPr>
            <w:r>
              <w:rPr>
                <w:sz w:val="18"/>
              </w:rPr>
              <w:t>362 m liniari</w:t>
            </w:r>
          </w:p>
        </w:tc>
      </w:tr>
    </w:tbl>
    <w:p>
      <w:r>
        <w:rPr>
          <w:b w:val="0"/>
          <w:sz w:val="18"/>
        </w:rPr>
        <w:t>Banda de 2 m este un exemplu geometric pentru estimarea întreținerii. Lățimea efectivă se stabilește prin măsurare.</w:t>
      </w:r>
    </w:p>
    <w:p>
      <w:r>
        <w:rPr>
          <w:b w:val="0"/>
          <w:sz w:val="18"/>
        </w:rPr>
        <w:t>Suprafața întregului stadion se determină separat: teren de joc + zone perimetrale + alei + amprenta vestiarelor și a celorlalte construcții + tribune și alte suprafețe, după caz. Suprafața de 7.140 m² se referă numai la terenul de joc.</w:t>
      </w:r>
    </w:p>
    <w:p>
      <w:pPr>
        <w:pStyle w:val="Heading1"/>
      </w:pPr>
      <w:r>
        <w:t>5. Calculul lucrărilor la garduri și vestiare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458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Element de măsurat</w:t>
            </w:r>
          </w:p>
        </w:tc>
        <w:tc>
          <w:tcPr>
            <w:tcW w:type="dxa" w:w="6406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Mod de calcul / exemplu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Lungimea împrejmuirii</w:t>
            </w:r>
          </w:p>
        </w:tc>
        <w:tc>
          <w:tcPr>
            <w:tcW w:type="dxa" w:w="6406"/>
          </w:tcPr>
          <w:p>
            <w:pPr>
              <w:spacing w:after="80" w:before="60"/>
            </w:pPr>
            <w:r>
              <w:rPr>
                <w:sz w:val="18"/>
              </w:rPr>
              <w:t>Se măsoară traseul real al gardului. Cei 346 m reprezintă conturul terenului de joc; nu confirmă lungimea gardului existent.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Suprafața geometrică a gardului</w:t>
            </w:r>
          </w:p>
        </w:tc>
        <w:tc>
          <w:tcPr>
            <w:tcW w:type="dxa" w:w="6406"/>
          </w:tcPr>
          <w:p>
            <w:pPr>
              <w:spacing w:after="80" w:before="60"/>
            </w:pPr>
            <w:r>
              <w:rPr>
                <w:sz w:val="18"/>
              </w:rPr>
              <w:t>Lungime gard × înălțime. Exemplu ipotetic: 346 m × 2 m = 692 m² pe o față; 1.384 m² pentru două fețe. La gardul din plasă, consumul de vopsea depinde de tipul plasei și de stâlpi.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Pardoseli vestiare</w:t>
            </w:r>
          </w:p>
        </w:tc>
        <w:tc>
          <w:tcPr>
            <w:tcW w:type="dxa" w:w="6406"/>
          </w:tcPr>
          <w:p>
            <w:pPr>
              <w:spacing w:after="80" w:before="60"/>
            </w:pPr>
            <w:r>
              <w:rPr>
                <w:sz w:val="18"/>
              </w:rPr>
              <w:t>Pentru fiecare încăpere: lungime × lățime; se însumează suprafețele încăperilor.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after="80" w:before="60"/>
            </w:pPr>
            <w:r>
              <w:rPr>
                <w:sz w:val="18"/>
              </w:rPr>
              <w:t>Pereți pentru retușuri / zugrăveli</w:t>
            </w:r>
          </w:p>
        </w:tc>
        <w:tc>
          <w:tcPr>
            <w:tcW w:type="dxa" w:w="6406"/>
          </w:tcPr>
          <w:p>
            <w:pPr>
              <w:spacing w:after="80" w:before="60"/>
            </w:pPr>
            <w:r>
              <w:rPr>
                <w:sz w:val="18"/>
              </w:rPr>
              <w:t>Perimetrul încăperii × înălțimea, minus suprafața ușilor și ferestrelor; se măsoară separat zonele efectiv lucrate.</w:t>
            </w:r>
          </w:p>
        </w:tc>
      </w:tr>
    </w:tbl>
    <w:p>
      <w:pPr>
        <w:pStyle w:val="Heading1"/>
      </w:pPr>
      <w:r>
        <w:t>6. Completarea lucrărilor efective</w:t>
      </w:r>
    </w:p>
    <w:p>
      <w:r>
        <w:rPr>
          <w:b w:val="0"/>
        </w:rPr>
        <w:t>Amplasamentul bazei sportive: ........................................................................................</w:t>
      </w:r>
    </w:p>
    <w:p>
      <w:r>
        <w:rPr>
          <w:b w:val="0"/>
        </w:rPr>
        <w:t>Perioada executării: .........................................................................................................</w:t>
      </w:r>
    </w:p>
    <w:p>
      <w:r>
        <w:rPr>
          <w:b w:val="0"/>
        </w:rPr>
        <w:t>Lucrări executate și cantități măsurate: 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</w:t>
      </w:r>
    </w:p>
    <w:p>
      <w:r>
        <w:rPr>
          <w:b w:val="0"/>
          <w:sz w:val="18"/>
        </w:rPr>
        <w:t>Valoarea poziției de întreținere din factura nr. 1: 30.000,00 lei. Factura prezintă o singură poziție; nu conține o defalcare a valorii pe operațiuni sau tarife pe m² / metru liniar.</w:t>
      </w:r>
    </w:p>
    <w:p>
      <w:r>
        <w:rPr>
          <w:b w:val="0"/>
          <w:sz w:val="18"/>
        </w:rPr>
        <w:t>Calculele orientative și lista operațiunilor posibile nu atestă executarea acestora. Confirmarea privește lucrările efective completate mai sus.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PRESTATOR</w:t>
            </w:r>
          </w:p>
        </w:tc>
        <w:tc>
          <w:tcPr>
            <w:tcW w:type="dxa" w:w="4932"/>
            <w:shd w:fill="E8EFEC"/>
          </w:tcPr>
          <w:p>
            <w:pPr>
              <w:spacing w:after="80" w:before="60"/>
            </w:pPr>
            <w:r>
              <w:rPr>
                <w:b/>
                <w:sz w:val="18"/>
              </w:rPr>
              <w:t>BENEFICIAR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80" w:before="60"/>
            </w:pPr>
            <w:r>
              <w:rPr>
                <w:sz w:val="18"/>
              </w:rPr>
              <w:t>Reprezentant: .....................................</w:t>
              <w:br/>
              <w:t>Semnătură: ..........................................</w:t>
              <w:br/>
              <w:t>Data: ....................................................</w:t>
            </w:r>
          </w:p>
        </w:tc>
        <w:tc>
          <w:tcPr>
            <w:tcW w:type="dxa" w:w="4932"/>
          </w:tcPr>
          <w:p>
            <w:pPr>
              <w:spacing w:after="80" w:before="60"/>
            </w:pPr>
            <w:r>
              <w:rPr>
                <w:sz w:val="18"/>
              </w:rPr>
              <w:t>Reprezentant: .....................................</w:t>
              <w:br/>
              <w:t>Semnătură: ..........................................</w:t>
              <w:br/>
              <w:t>Data: ....................................................</w:t>
            </w:r>
          </w:p>
        </w:tc>
      </w:tr>
    </w:tbl>
    <w:p>
      <w:r>
        <w:rPr>
          <w:b w:val="0"/>
          <w:sz w:val="14"/>
        </w:rPr>
        <w:t>Referință pentru dimensiuni: FIFA – Stadium Guidelines, secțiunea 5.3, Pitch dimensions and surrounding areas. https://inside.fifa.com/innovation/stadium-guidelines/technical-guidelines/stadiums-guidelines/pitch-dimensions-and-surrounding-areas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Factura nr. 1 / 29.09.2026  • 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46E"/>
        <w:sz w:val="16"/>
      </w:rPr>
      <w:t>ÎNTREȚINERE BAZĂ SPORTIVĂ  |  ANEXĂ LA FACTURĂ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54B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54B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