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eDRIVE M1 — de ce DA condiționat / NU fără scrisoare bancară</w:t>
      </w:r>
    </w:p>
    <w:p>
      <w:r>
        <w:t>Explicație cu text normativ, indicatori ANAF și dovezi locale | 01.10.2026</w:t>
      </w:r>
    </w:p>
    <w:p>
      <w:r>
        <w:t>Eligibilitatea completă nu este încă demonstrată pentru niciuna dintre cele trei firme. Cesiro nu îndeplinește indicatorul financiar, dar schema permite scrisoare bancară/de confort. Nu este o respingere definitivă. Marius și Dancor îndeplinesc indicatorul; celelalte condiții rămân de dovedit.</w:t>
      </w:r>
    </w:p>
    <w:p>
      <w:pPr>
        <w:pStyle w:val="Heading1"/>
      </w:pPr>
      <w:r>
        <w:t>1. Documentul exact și condiția financiară</w:t>
      </w:r>
    </w:p>
    <w:p>
      <w:r>
        <w:t>Sursa este schema legală eDRIVE, anexa înlocuită prin OMTI 742/03.08.2026, M.Of. 655/07.08.2026, pagina 9, art. 10 alin. (1) lit. h). Nu este un citat din Ghidul solicitantului. La 01.10.2026 nu am putut verifica un Ghid final eDRIVE; pagina ministerului nu a fost accesibilă. Nu atribui schemei modelele, valabilitatea sau termenul de depunere al scrisorii din alte programe.</w:t>
      </w:r>
    </w:p>
    <w:p>
      <w:r>
        <w:t>Fișier în biblioteca comună: \\192.168.100.169\Comun\00. Proiecte 2026 - SCRIEM\2026.01.11 eDrive\01. Documente originale\01. Acte normative\2026-08-07_MOf655_OMTI742_eDRIVE.pdf</w:t>
      </w:r>
    </w:p>
    <w:p>
      <w:r>
        <w:t>h) demonstrează capacitatea financiară pentru implementarea proiectului prin indicatorii de solvabilitate, respectiv prin raportul dintre datorii totale și capitaluri proprii care trebuie să fie pozitiv și mai mic de 7,5 în ultimul an financiar. În cazul în care beneficiarul nu îndeplinește criteriul privind indicatorul de solvabilitate, precum și pentru asigurarea contribuției proprii și a cheltuielilor neeligibile, acesta va fi obligat să prezinte o scrisoare privind bonitatea bancară/scrisoare de confort.</w:t>
      </w:r>
    </w:p>
    <w:p>
      <w:r>
        <w:t>Calculul este datorii totale ÷ capitaluri proprii. Trebuie 0 &lt; rezultat &lt; 7,5. Nu sunt folosite numai datoriile fiscale sau cifra de afaceri. Capitalurile proprii nu sunt capitalul social de 200 lei.</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Firmă / CUI</w:t>
            </w:r>
          </w:p>
        </w:tc>
        <w:tc>
          <w:tcPr>
            <w:tcW w:type="dxa" w:w="1728"/>
          </w:tcPr>
          <w:p>
            <w:r>
              <w:t>Datorii I7 (lei)</w:t>
            </w:r>
          </w:p>
        </w:tc>
        <w:tc>
          <w:tcPr>
            <w:tcW w:type="dxa" w:w="1728"/>
          </w:tcPr>
          <w:p>
            <w:r>
              <w:t>Capitaluri I10 (lei)</w:t>
            </w:r>
          </w:p>
        </w:tc>
        <w:tc>
          <w:tcPr>
            <w:tcW w:type="dxa" w:w="1728"/>
          </w:tcPr>
          <w:p>
            <w:r>
              <w:t>Calcul</w:t>
            </w:r>
          </w:p>
        </w:tc>
        <w:tc>
          <w:tcPr>
            <w:tcW w:type="dxa" w:w="1728"/>
          </w:tcPr>
          <w:p>
            <w:r>
              <w:t>Rezultat</w:t>
            </w:r>
          </w:p>
        </w:tc>
      </w:tr>
      <w:tr>
        <w:tc>
          <w:tcPr>
            <w:tcW w:type="dxa" w:w="1728"/>
          </w:tcPr>
          <w:p>
            <w:r>
              <w:t>CESIRO TRADING SRL / 37705493</w:t>
            </w:r>
          </w:p>
        </w:tc>
        <w:tc>
          <w:tcPr>
            <w:tcW w:type="dxa" w:w="1728"/>
          </w:tcPr>
          <w:p>
            <w:r>
              <w:t>5.898.975</w:t>
            </w:r>
          </w:p>
        </w:tc>
        <w:tc>
          <w:tcPr>
            <w:tcW w:type="dxa" w:w="1728"/>
          </w:tcPr>
          <w:p>
            <w:r>
              <w:t>-235.774</w:t>
            </w:r>
          </w:p>
        </w:tc>
        <w:tc>
          <w:tcPr>
            <w:tcW w:type="dxa" w:w="1728"/>
          </w:tcPr>
          <w:p>
            <w:r>
              <w:t>-25,0196</w:t>
            </w:r>
          </w:p>
        </w:tc>
        <w:tc>
          <w:tcPr>
            <w:tcW w:type="dxa" w:w="1728"/>
          </w:tcPr>
          <w:p>
            <w:r>
              <w:t>Nu respectă pragul pozitiv</w:t>
            </w:r>
          </w:p>
        </w:tc>
      </w:tr>
      <w:tr>
        <w:tc>
          <w:tcPr>
            <w:tcW w:type="dxa" w:w="1728"/>
          </w:tcPr>
          <w:p>
            <w:r>
              <w:t>MARIUS CODE WNK SRL / 37707133</w:t>
            </w:r>
          </w:p>
        </w:tc>
        <w:tc>
          <w:tcPr>
            <w:tcW w:type="dxa" w:w="1728"/>
          </w:tcPr>
          <w:p>
            <w:r>
              <w:t>678.130</w:t>
            </w:r>
          </w:p>
        </w:tc>
        <w:tc>
          <w:tcPr>
            <w:tcW w:type="dxa" w:w="1728"/>
          </w:tcPr>
          <w:p>
            <w:r>
              <w:t>114.597</w:t>
            </w:r>
          </w:p>
        </w:tc>
        <w:tc>
          <w:tcPr>
            <w:tcW w:type="dxa" w:w="1728"/>
          </w:tcPr>
          <w:p>
            <w:r>
              <w:t>5,9175</w:t>
            </w:r>
          </w:p>
        </w:tc>
        <w:tc>
          <w:tcPr>
            <w:tcW w:type="dxa" w:w="1728"/>
          </w:tcPr>
          <w:p>
            <w:r>
              <w:t>Respectă 0 &lt; raport &lt; 7,5</w:t>
            </w:r>
          </w:p>
        </w:tc>
      </w:tr>
      <w:tr>
        <w:tc>
          <w:tcPr>
            <w:tcW w:type="dxa" w:w="1728"/>
          </w:tcPr>
          <w:p>
            <w:r>
              <w:t>DANCOR-PROIECT SRL / 12445967</w:t>
            </w:r>
          </w:p>
        </w:tc>
        <w:tc>
          <w:tcPr>
            <w:tcW w:type="dxa" w:w="1728"/>
          </w:tcPr>
          <w:p>
            <w:r>
              <w:t>126.687</w:t>
            </w:r>
          </w:p>
        </w:tc>
        <w:tc>
          <w:tcPr>
            <w:tcW w:type="dxa" w:w="1728"/>
          </w:tcPr>
          <w:p>
            <w:r>
              <w:t>39.656</w:t>
            </w:r>
          </w:p>
        </w:tc>
        <w:tc>
          <w:tcPr>
            <w:tcW w:type="dxa" w:w="1728"/>
          </w:tcPr>
          <w:p>
            <w:r>
              <w:t>3,1946</w:t>
            </w:r>
          </w:p>
        </w:tc>
        <w:tc>
          <w:tcPr>
            <w:tcW w:type="dxa" w:w="1728"/>
          </w:tcPr>
          <w:p>
            <w:r>
              <w:t>Respectă 0 &lt; raport &lt; 7,5</w:t>
            </w:r>
          </w:p>
        </w:tc>
      </w:tr>
    </w:tbl>
    <w:p>
      <w:r>
        <w:t>Date ANAF 2025: I7 are denumirea «DATORII»; I10 are denumirea «CAPITALURI - TOTAL, din care:». În registrul comparativ, foaia «ANAF 2025 indicatori» arată aceste câmpuri, sursa și calculul. Răspunsurile oficiale JSON sunt păstrate în fiecare dosar, în 10. Eligibilitate solicitant si minimis / 04. Fiscal si capacitate financiara.</w:t>
      </w:r>
    </w:p>
    <w:p>
      <w:r>
        <w:t>CESIRO TRADING SRL: https://webservicesp.anaf.ro/bilant?an=2025&amp;cui=37705493</w:t>
      </w:r>
    </w:p>
    <w:p>
      <w:r>
        <w:t>MARIUS CODE WNK SRL: https://webservicesp.anaf.ro/bilant?an=2025&amp;cui=37707133</w:t>
      </w:r>
    </w:p>
    <w:p>
      <w:r>
        <w:t>DANCOR-PROIECT SRL: https://webservicesp.anaf.ro/bilant?an=2025&amp;cui=12445967</w:t>
      </w:r>
    </w:p>
    <w:p>
      <w:pPr>
        <w:pStyle w:val="Heading1"/>
      </w:pPr>
      <w:r>
        <w:t>2. Ce înseamnă pentru fiecare firmă</w:t>
      </w:r>
    </w:p>
    <w:p>
      <w:r>
        <w:t>CESIRO TRADING: 5.898.975 / (-235.774) = -25,0196. Rezultatul este negativ, deci nu îndeplinește indicatorul. Are nevoie de scrisoare privind bonitatea bancară/scrisoare de confort, emisă de bancă, conform lit. h), pentru calea alternativă de demonstrare a capacității financiare. O declarație a administratorului sau un extras de cont nu este, prin denumire, această scrisoare. Nu a fost găsită o asemenea scrisoare în documentele accesibile căutării. Formatul, valoarea acoperită și momentul prezentării se confirmă în documentația eDRIVE; nu sunt stabilite aici prin presupunere. Se adaugă dovada finanțării TVA și a costurilor neacoperite de grant.</w:t>
      </w:r>
    </w:p>
    <w:p>
      <w:r>
        <w:t>MARIUS CODE WNK: 678.130 / 114.597 = 5,9175. DANCOR-PROIECT: 126.687 / 39.656 = 3,1946. Ambele îndeplinesc indicatorul, deci nu necesită scrisoare pentru a compensa un indicator neconform. Finanțarea contribuției proprii/cheltuielilor neeligibile trebuie totuși demonstrată în forma cerută de schema și ghidul aplicabil. DA condiționat nu confirmă statutul IMM/grupul, plafonul minimis, lipsa datoriilor fiscale sau existența vehiculelor eligibile.</w:t>
      </w:r>
    </w:p>
    <w:p>
      <w:r>
        <w:t>Pierderea contabilă anuală nu este aceeași cu indicatorul datorii/capitaluri. Dancor are pierdere netă în 2025, dar raportul verificat rămâne pozitiv și sub 7,5.</w:t>
      </w:r>
    </w:p>
    <w:p>
      <w:pPr>
        <w:pStyle w:val="Heading1"/>
      </w:pPr>
      <w:r>
        <w:t>3. De ce nu aplic excluderea întreprinderii în dificultate la M1</w:t>
      </w:r>
    </w:p>
    <w:p>
      <w:r>
        <w:t>Art. 10 alin. (1) lit. g), aceeași pagină 9:</w:t>
      </w:r>
    </w:p>
    <w:p>
      <w:r>
        <w:t>g) nu sunt întreprinderi în dificultate, respectiv nu se află în cel puțin una dintre situațiile prevăzute la art. 6 lit. m); această prevedere este aplicabilă strict pentru măsura 2;</w:t>
      </w:r>
    </w:p>
    <w:p>
      <w:r>
        <w:t>Pentru autoturismele M1 în măsura 1 de minimis, capitalurile negative nu produc automat excluderea prin lit. g). Lit. h) și condițiile distincte privind insolvența/incapacitatea de plată rămân aplicabile. Un bilanț cu capitaluri negative nu dovedește singur existența juridică a insolvenței.</w:t>
      </w:r>
    </w:p>
    <w:p>
      <w:pPr>
        <w:pStyle w:val="Heading1"/>
      </w:pPr>
      <w:r>
        <w:t>4. Ce lipsește și unde este prevăzut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Condiție</w:t>
            </w:r>
          </w:p>
        </w:tc>
        <w:tc>
          <w:tcPr>
            <w:tcW w:type="dxa" w:w="2880"/>
          </w:tcPr>
          <w:p>
            <w:r>
              <w:t>Locul în schemă</w:t>
            </w:r>
          </w:p>
        </w:tc>
        <w:tc>
          <w:tcPr>
            <w:tcW w:type="dxa" w:w="2880"/>
          </w:tcPr>
          <w:p>
            <w:r>
              <w:t>Dovada de obținut</w:t>
            </w:r>
          </w:p>
        </w:tc>
      </w:tr>
      <w:tr>
        <w:tc>
          <w:tcPr>
            <w:tcW w:type="dxa" w:w="2880"/>
          </w:tcPr>
          <w:p>
            <w:r>
              <w:t>IMM / grup / control</w:t>
            </w:r>
          </w:p>
        </w:tc>
        <w:tc>
          <w:tcPr>
            <w:tcW w:type="dxa" w:w="2880"/>
          </w:tcPr>
          <w:p>
            <w:r>
              <w:t>Art. 7 alin. (1) lit. a), p. 8; definiții art. 6 și anexa I a Regulamentului indicat de schemă</w:t>
            </w:r>
          </w:p>
        </w:tc>
        <w:tc>
          <w:tcPr>
            <w:tcW w:type="dxa" w:w="2880"/>
          </w:tcPr>
          <w:p>
            <w:r>
              <w:t>ONRC actualizat, participații/control, declarație IMM și calculul agregat unde este cazul. Numărul individual de salariați nu dovedește autonomia.</w:t>
            </w:r>
          </w:p>
        </w:tc>
      </w:tr>
      <w:tr>
        <w:tc>
          <w:tcPr>
            <w:tcW w:type="dxa" w:w="2880"/>
          </w:tcPr>
          <w:p>
            <w:r>
              <w:t>Minimis disponibil</w:t>
            </w:r>
          </w:p>
        </w:tc>
        <w:tc>
          <w:tcPr>
            <w:tcW w:type="dxa" w:w="2880"/>
          </w:tcPr>
          <w:p>
            <w:r>
              <w:t>Art. 16 alin. (1), p. 10; întreprindere unică: art. 6 lit. q), p. 8</w:t>
            </w:r>
          </w:p>
        </w:tc>
        <w:tc>
          <w:tcPr>
            <w:tcW w:type="dxa" w:w="2880"/>
          </w:tcPr>
          <w:p>
            <w:r>
              <w:t>Declarație semnată și ajutoare deja acordate în ultimii 3 ani la nivelul întreprinderii unice. 300.000 EUR este plafonul, nu soldul disponibil dovedit.</w:t>
            </w:r>
          </w:p>
        </w:tc>
      </w:tr>
      <w:tr>
        <w:tc>
          <w:tcPr>
            <w:tcW w:type="dxa" w:w="2880"/>
          </w:tcPr>
          <w:p>
            <w:r>
              <w:t>Fiscal / juridic</w:t>
            </w:r>
          </w:p>
        </w:tc>
        <w:tc>
          <w:tcPr>
            <w:tcW w:type="dxa" w:w="2880"/>
          </w:tcPr>
          <w:p>
            <w:r>
              <w:t>Art. 10 alin. (1) lit. a)–f), p. 9</w:t>
            </w:r>
          </w:p>
        </w:tc>
        <w:tc>
          <w:tcPr>
            <w:tcW w:type="dxa" w:w="2880"/>
          </w:tcPr>
          <w:p>
            <w:r>
              <w:t>Recuperări executate, lipsa situațiilor de insolvență/faliment/suspendare etc., obligații fiscale îndeplinite și condițiile privind condamnările. Certificate și declarații actualizate conform documentației apelului.</w:t>
            </w:r>
          </w:p>
        </w:tc>
      </w:tr>
      <w:tr>
        <w:tc>
          <w:tcPr>
            <w:tcW w:type="dxa" w:w="2880"/>
          </w:tcPr>
          <w:p>
            <w:r>
              <w:t>Flota și înlocuirea</w:t>
            </w:r>
          </w:p>
        </w:tc>
        <w:tc>
          <w:tcPr>
            <w:tcW w:type="dxa" w:w="2880"/>
          </w:tcPr>
          <w:p>
            <w:r>
              <w:t>Art. 5 alin. (2), (4), (5), (8), p. 6</w:t>
            </w:r>
          </w:p>
        </w:tc>
        <w:tc>
          <w:tcPr>
            <w:tcW w:type="dxa" w:w="2880"/>
          </w:tcPr>
          <w:p>
            <w:r>
              <w:t>Vehicule existente deținute de cel puțin 1 an sau excepția promisiunii bilaterale și noul talon înaintea contractului. RCA/ITP la depunere și în anul anterior sunt cerute explicit de alin. (5) pentru situația promisiunii din alin. (4); această condiție nu se generalizează aici tuturor situațiilor.</w:t>
            </w:r>
          </w:p>
        </w:tc>
      </w:tr>
      <w:tr>
        <w:tc>
          <w:tcPr>
            <w:tcW w:type="dxa" w:w="2880"/>
          </w:tcPr>
          <w:p>
            <w:r>
              <w:t>Vehicule noi / grant / durabilitate</w:t>
            </w:r>
          </w:p>
        </w:tc>
        <w:tc>
          <w:tcPr>
            <w:tcW w:type="dxa" w:w="2880"/>
          </w:tcPr>
          <w:p>
            <w:r>
              <w:t>Art. 11 alin. (1) lit. h) și alin. (2), p. 9–10; art. 16 alin. (2) și (4), p. 10; art. 10 alin. (3), p. 9</w:t>
            </w:r>
          </w:p>
        </w:tc>
        <w:tc>
          <w:tcPr>
            <w:tcW w:type="dxa" w:w="2880"/>
          </w:tcPr>
          <w:p>
            <w:r>
              <w:t>BEV noi, oferte justificative, maximum 30.000 EUR/M1 și până la 100% eligibil, durabilitate 5 ani; surse proprii pentru cheltuieli neacoperite.</w:t>
            </w:r>
          </w:p>
        </w:tc>
      </w:tr>
    </w:tbl>
    <w:p>
      <w:r>
        <w:t>CAEN: art. 7 alin. (1) lit. a), pagina 8, se încheie cu «indiferent de codul CAEN deținut». Nu este necesar un CAEN auto/transport pentru măsura 1. Se verifică separat sectoarele excluse și separarea activităților conform art. 5 alin. (9)–(10).</w:t>
      </w:r>
    </w:p>
    <w:p>
      <w:pPr>
        <w:pStyle w:val="Heading1"/>
      </w:pPr>
      <w:r>
        <w:t>5. Declarațiile Dancor — document și rubrică exactă</w:t>
      </w:r>
    </w:p>
    <w:p>
      <w:r>
        <w:t>\\192.168.100.169\Comun\00. Proiecte 2026 - SCRIEM\2026.09.30 Acțiunea 2.1 POCIDIF\P1. Dancorproiect SRL\4. Dosar depunere\0. Arhiva DANCOR (beneficiar schimbat 16.07.2026)\Anexa 11 - Declaratie IMM - CUI 12445967.docx</w:t>
      </w:r>
    </w:p>
    <w:p>
      <w:r>
        <w:t>Secțiunea II — Tipul întreprinderii: «[X] Întreprindere autonomă — [DE CONFIRMAT: dacă există întreprinderi legate/partenere prin asociați, se bifează corespunzător și se completează Formularul B]». Secțiunea III — date utilizate: rândul financiar nu este completat; data și semnătura sunt necompletate. Consecință: nu este probă finală a autonomiei/statutului IMM.</w:t>
      </w:r>
    </w:p>
    <w:p>
      <w:r>
        <w:t>\\192.168.100.169\Comun\00. Proiecte 2026 - SCRIEM\2026.09.30 Acțiunea 2.1 POCIDIF\P1. Dancorproiect SRL\4. Dosar depunere\0. Arhiva DANCOR (beneficiar schimbat 16.07.2026)\Anexa 18 - Declaratie cumul ajutoare - CUI 12445967.docx</w:t>
      </w:r>
    </w:p>
    <w:p>
      <w:r>
        <w:t>Tabelul opțiunilor bifează «NU am beneficiat de ajutor de stat și/sau de ajutoare de minimis»; tabelul ajutoarelor nu are înregistrări, data/semnătura sunt necompletate și referința este Regulamentul CE nr. 1.407/2013. Consecință: trebuie actualizată pentru eDRIVE și semnată după verificarea cumulului; nu dovedește soldul integral de 300.000 EUR.</w:t>
      </w:r>
    </w:p>
    <w:p>
      <w:r>
        <w:t>În folderul Dancor există anexe CUI 47344051 pentru SRM DESIGN; nu sunt declarații ale Dancor. Pentru Marius și Cesiro nu au fost găsite declarații IMM/cumul semnate în textele extractibile verificate. Fișierele scanate fără text/arhivele impun limita că lipsa din căutare nu dovedește inexistența actului.</w:t>
      </w:r>
    </w:p>
    <w:p>
      <w:r>
        <w:t>Tabelele financiare locale Dancor conțin neconcordanțe de active/totaluri. Capitalurile ANAF 2025 sunt 39.656 lei, iar activele imobilizate și circulante sunt 25.701 și 140.642 lei. Nu am folosit totalul local -59.142 lei la calcul. La Marius, veniturile în avans ANAF 9.514 lei explică diferența dintre active și datorii plus capitaluri.</w:t>
      </w:r>
    </w:p>
    <w:p>
      <w:pPr>
        <w:pStyle w:val="Heading1"/>
      </w:pPr>
      <w:r>
        <w:t>6. Scrisoarea bancară — detalii încă de confirmat pentru eDRIVE</w:t>
      </w:r>
    </w:p>
    <w:p>
      <w:r>
        <w:t>Centralizatorul MTI din 17.09.2026 conține răspunsuri despre scrisoare pentru e-Mobility și e-MOVE. Aceste răspunsuri nu sunt folosite aici pentru a afirma că eDRIVE cere scrisoarea numai la contractare sau într-un anumit model. Instituția bancară trebuie să analizeze firma și proiectul; documentul va trebui să corespundă cerințelor efective eDRIVE. Înaintea prezentării la bancă: buget cu TVA și diferențe față de grant, situații financiare depuse și sursa finanțării costurilor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