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eDRIVE — finanțare pentru înlocuirea flotei</w:t>
      </w:r>
    </w:p>
    <w:p>
      <w:r>
        <w:t>Actualizat la 1 octombrie 2026 | Standard intern v1.0</w:t>
      </w:r>
    </w:p>
    <w:p>
      <w:r>
        <w:t>Concluzie: pentru Măsura 1, IMM-urile pot solicita până la 30.000 EUR pentru fiecare autoturism M1, până la 100% din costul eligibil fără TVA, în limita soldului de minimis al întreprinderii unice. Plafonul de 300.000 EUR include ajutoarele de minimis deja acordate în orice perioadă de 3 ani. TVA este neeligibil, inclusiv dacă nu poate fi dedus fiscal. [S01, art. 8, 16 și 18]</w:t>
      </w:r>
    </w:p>
    <w:p>
      <w:pPr>
        <w:pStyle w:val="Heading1"/>
      </w:pPr>
      <w:r>
        <w:t>1. Stadiul apelului și limitele cercetării</w:t>
      </w:r>
    </w:p>
    <w:p>
      <w:r>
        <w:t>Nu a fost identificat un ghid final ori un calendar oficial de depunere eDRIVE accesibil la cercetarea din 01.10.2026. Sursa secundară RCG declară o verificare la 28.09.2026 și raportează secțiuni MTI în curs de actualizare; SOV din 30.09.2026 raportează ghid nepublicat. Accesul direct la pagina MTI și la Portalul Legislativ a produs erori, astfel că lipsa ghidului nu este confirmată independent printr-o pagină oficială încărcată la această dată. Tratați programul ca dosar de pregătire și revalidați înainte de orice depunere. [S05–S09]</w:t>
      </w:r>
    </w:p>
    <w:p>
      <w:r>
        <w:t>Au fost citite și recuperate actele publicate în Monitorul Oficial nr. 655/07.08.2026 și nr. 739/02.09.2026, din copii găzduite de MonitorLegal, precum și centralizatorul MTI publicat în septembrie, dintr-o copie distribuită prin Fonduri Structurale. Copiile, URL-urile și amprentele SHA-256 sunt în registrul surselor. Cercetarea acoperă sursele relevante identificate, nu poate garanta inventarierea întregului internet sau a documentelor nepublice.</w:t>
      </w:r>
    </w:p>
    <w:p>
      <w:pPr>
        <w:pStyle w:val="Heading1"/>
      </w:pPr>
      <w:r>
        <w:t>2. Evoluția actelor</w:t>
      </w:r>
    </w:p>
    <w:tbl>
      <w:tblPr>
        <w:tblStyle w:val="LightShading-Accent1"/>
        <w:tblW w:type="auto" w:w="0"/>
        <w:tblLook w:firstColumn="1" w:firstRow="1" w:lastColumn="0" w:lastRow="0" w:noHBand="0" w:noVBand="1" w:val="04A0"/>
      </w:tblPr>
      <w:tblGrid>
        <w:gridCol w:w="4320"/>
        <w:gridCol w:w="4320"/>
      </w:tblGrid>
      <w:tr>
        <w:tc>
          <w:tcPr>
            <w:tcW w:type="dxa" w:w="4320"/>
          </w:tcPr>
          <w:p>
            <w:r>
              <w:t>Act / dată</w:t>
            </w:r>
          </w:p>
        </w:tc>
        <w:tc>
          <w:tcPr>
            <w:tcW w:type="dxa" w:w="4320"/>
          </w:tcPr>
          <w:p>
            <w:r>
              <w:t>Utilizare în dosar</w:t>
            </w:r>
          </w:p>
        </w:tc>
      </w:tr>
      <w:tr>
        <w:tc>
          <w:tcPr>
            <w:tcW w:type="dxa" w:w="4320"/>
          </w:tcPr>
          <w:p>
            <w:r>
              <w:t>OMTI 2291/29.12.2025; MOf14/13.01.2026</w:t>
            </w:r>
          </w:p>
        </w:tc>
        <w:tc>
          <w:tcPr>
            <w:tcW w:type="dxa" w:w="4320"/>
          </w:tcPr>
          <w:p>
            <w:r>
              <w:t>Schema inițială pentru pasageri; nu se utilizează singură pentru măsura de minimis.</w:t>
            </w:r>
          </w:p>
        </w:tc>
      </w:tr>
      <w:tr>
        <w:tc>
          <w:tcPr>
            <w:tcW w:type="dxa" w:w="4320"/>
          </w:tcPr>
          <w:p>
            <w:r>
              <w:t>OMTI100/2026; MOf119/2026</w:t>
            </w:r>
          </w:p>
        </w:tc>
        <w:tc>
          <w:tcPr>
            <w:tcW w:type="dxa" w:w="4320"/>
          </w:tcPr>
          <w:p>
            <w:r>
              <w:t>Modificare istorică identificată în sursele secundare; textul integral nu a fost recuperat. Anexa din august înlocuiește anexa anterioară.</w:t>
            </w:r>
          </w:p>
        </w:tc>
      </w:tr>
      <w:tr>
        <w:tc>
          <w:tcPr>
            <w:tcW w:type="dxa" w:w="4320"/>
          </w:tcPr>
          <w:p>
            <w:r>
              <w:t>OMTI742/03.08.2026; MOf655/07.08.2026</w:t>
            </w:r>
          </w:p>
        </w:tc>
        <w:tc>
          <w:tcPr>
            <w:tcW w:type="dxa" w:w="4320"/>
          </w:tcPr>
          <w:p>
            <w:r>
              <w:t>Înlocuiește anexa și instituie cele două măsuri; sursa principală pentru plafoane, eligibilitate și punctaj.</w:t>
            </w:r>
          </w:p>
        </w:tc>
      </w:tr>
      <w:tr>
        <w:tc>
          <w:tcPr>
            <w:tcW w:type="dxa" w:w="4320"/>
          </w:tcPr>
          <w:p>
            <w:r>
              <w:t>OMTI817/01.09.2026; MOf739/02.09.2026</w:t>
            </w:r>
          </w:p>
        </w:tc>
        <w:tc>
          <w:tcPr>
            <w:tcW w:type="dxa" w:w="4320"/>
          </w:tcPr>
          <w:p>
            <w:r>
              <w:t>Modifică art.12 alin.(2), privind armonizarea Măsurii2 cu viitorul regulament și perioada de tranziție. Nu schimbă plafonul Măsurii1.</w:t>
            </w:r>
          </w:p>
        </w:tc>
      </w:tr>
      <w:tr>
        <w:tc>
          <w:tcPr>
            <w:tcW w:type="dxa" w:w="4320"/>
          </w:tcPr>
          <w:p>
            <w:r>
              <w:t>Centralizator MTI septembrie 2026</w:t>
            </w:r>
          </w:p>
        </w:tc>
        <w:tc>
          <w:tcPr>
            <w:tcW w:type="dxa" w:w="4320"/>
          </w:tcPr>
          <w:p>
            <w:r>
              <w:t>Interpretări privind promisiunea notarială, vânzătorul, operarea și PFA/II; se citesc împreună cu schema și viitorul ghid.</w:t>
            </w:r>
          </w:p>
        </w:tc>
      </w:tr>
    </w:tbl>
    <w:p>
      <w:pPr>
        <w:pStyle w:val="Heading1"/>
      </w:pPr>
      <w:r>
        <w:t>3. Cele două măsuri</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Aspect</w:t>
            </w:r>
          </w:p>
        </w:tc>
        <w:tc>
          <w:tcPr>
            <w:tcW w:type="dxa" w:w="2880"/>
          </w:tcPr>
          <w:p>
            <w:r>
              <w:t>Măsura 1 — minimis</w:t>
            </w:r>
          </w:p>
        </w:tc>
        <w:tc>
          <w:tcPr>
            <w:tcW w:type="dxa" w:w="2880"/>
          </w:tcPr>
          <w:p>
            <w:r>
              <w:t>Măsura 2 — ajutor de stat</w:t>
            </w:r>
          </w:p>
        </w:tc>
      </w:tr>
      <w:tr>
        <w:tc>
          <w:tcPr>
            <w:tcW w:type="dxa" w:w="2880"/>
          </w:tcPr>
          <w:p>
            <w:r>
              <w:t>Beneficiari</w:t>
            </w:r>
          </w:p>
        </w:tc>
        <w:tc>
          <w:tcPr>
            <w:tcW w:type="dxa" w:w="2880"/>
          </w:tcPr>
          <w:p>
            <w:r>
              <w:t>Microîntreprinderi, întreprinderi mici și mijlocii; CAEN indiferent, cu excluderi</w:t>
            </w:r>
          </w:p>
        </w:tc>
        <w:tc>
          <w:tcPr>
            <w:tcW w:type="dxa" w:w="2880"/>
          </w:tcPr>
          <w:p>
            <w:r>
              <w:t>Operatori de transport rutier de pasageri, inclusiv mari; CAEN Rev.3 4931, 4932, 4933</w:t>
            </w:r>
          </w:p>
        </w:tc>
      </w:tr>
      <w:tr>
        <w:tc>
          <w:tcPr>
            <w:tcW w:type="dxa" w:w="2880"/>
          </w:tcPr>
          <w:p>
            <w:r>
              <w:t>Vehicule înlocuite</w:t>
            </w:r>
          </w:p>
        </w:tc>
        <w:tc>
          <w:tcPr>
            <w:tcW w:type="dxa" w:w="2880"/>
          </w:tcPr>
          <w:p>
            <w:r>
              <w:t>M1 și M2; proprietate cel puțin 1 an, cu excepția art.5 alin.(4)-(5)</w:t>
            </w:r>
          </w:p>
        </w:tc>
        <w:tc>
          <w:tcPr>
            <w:tcW w:type="dxa" w:w="2880"/>
          </w:tcPr>
          <w:p>
            <w:r>
              <w:t>M1, M2, M3; proprietate și operare cel puțin 1 an, cu excepția art.5 alin.(4),(6)</w:t>
            </w:r>
          </w:p>
        </w:tc>
      </w:tr>
      <w:tr>
        <w:tc>
          <w:tcPr>
            <w:tcW w:type="dxa" w:w="2880"/>
          </w:tcPr>
          <w:p>
            <w:r>
              <w:t>Cost eligibil</w:t>
            </w:r>
          </w:p>
        </w:tc>
        <w:tc>
          <w:tcPr>
            <w:tcW w:type="dxa" w:w="2880"/>
          </w:tcPr>
          <w:p>
            <w:r>
              <w:t>Costul achiziției vehiculului electric nou fără TVA</w:t>
            </w:r>
          </w:p>
        </w:tc>
        <w:tc>
          <w:tcPr>
            <w:tcW w:type="dxa" w:w="2880"/>
          </w:tcPr>
          <w:p>
            <w:r>
              <w:t>Costul suplimentar față de vehiculul convențional comparabil, fără TVA</w:t>
            </w:r>
          </w:p>
        </w:tc>
      </w:tr>
      <w:tr>
        <w:tc>
          <w:tcPr>
            <w:tcW w:type="dxa" w:w="2880"/>
          </w:tcPr>
          <w:p>
            <w:r>
              <w:t>Limită</w:t>
            </w:r>
          </w:p>
        </w:tc>
        <w:tc>
          <w:tcPr>
            <w:tcW w:type="dxa" w:w="2880"/>
          </w:tcPr>
          <w:p>
            <w:r>
              <w:t>300.000 EUR / întreprindere unică / orice 3 ani; maximum 30.000 EUR ajutor / M1</w:t>
            </w:r>
          </w:p>
        </w:tc>
        <w:tc>
          <w:tcPr>
            <w:tcW w:type="dxa" w:w="2880"/>
          </w:tcPr>
          <w:p>
            <w:r>
              <w:t>4.000.000 EUR cumulat / beneficiar; pentru M1 cost suplimentar plafonat la 30.000 EUR</w:t>
            </w:r>
          </w:p>
        </w:tc>
      </w:tr>
      <w:tr>
        <w:tc>
          <w:tcPr>
            <w:tcW w:type="dxa" w:w="2880"/>
          </w:tcPr>
          <w:p>
            <w:r>
              <w:t>Intensitate</w:t>
            </w:r>
          </w:p>
        </w:tc>
        <w:tc>
          <w:tcPr>
            <w:tcW w:type="dxa" w:w="2880"/>
          </w:tcPr>
          <w:p>
            <w:r>
              <w:t>Până la 100% din eligibil, în limitele plafoanelor</w:t>
            </w:r>
          </w:p>
        </w:tc>
        <w:tc>
          <w:tcPr>
            <w:tcW w:type="dxa" w:w="2880"/>
          </w:tcPr>
          <w:p>
            <w:r>
              <w:t>Până la 100% din eligibil, conform competiției</w:t>
            </w:r>
          </w:p>
        </w:tc>
      </w:tr>
      <w:tr>
        <w:tc>
          <w:tcPr>
            <w:tcW w:type="dxa" w:w="2880"/>
          </w:tcPr>
          <w:p>
            <w:r>
              <w:t>Buget</w:t>
            </w:r>
          </w:p>
        </w:tc>
        <w:tc>
          <w:tcPr>
            <w:tcW w:type="dxa" w:w="2880"/>
          </w:tcPr>
          <w:p>
            <w:r>
              <w:t>15 milioane EUR</w:t>
            </w:r>
          </w:p>
        </w:tc>
        <w:tc>
          <w:tcPr>
            <w:tcW w:type="dxa" w:w="2880"/>
          </w:tcPr>
          <w:p>
            <w:r>
              <w:t>41,9 milioane EUR</w:t>
            </w:r>
          </w:p>
        </w:tc>
      </w:tr>
      <w:tr>
        <w:tc>
          <w:tcPr>
            <w:tcW w:type="dxa" w:w="2880"/>
          </w:tcPr>
          <w:p>
            <w:r>
              <w:t>Selecție</w:t>
            </w:r>
          </w:p>
        </w:tc>
        <w:tc>
          <w:tcPr>
            <w:tcW w:type="dxa" w:w="2880"/>
          </w:tcPr>
          <w:p>
            <w:r>
              <w:t>Punctaj, apoi departajare; nu simplu primul venit</w:t>
            </w:r>
          </w:p>
        </w:tc>
        <w:tc>
          <w:tcPr>
            <w:tcW w:type="dxa" w:w="2880"/>
          </w:tcPr>
          <w:p>
            <w:r>
              <w:t>Ofertare concurențială; proceduri distincte pe categorie</w:t>
            </w:r>
          </w:p>
        </w:tc>
      </w:tr>
    </w:tbl>
    <w:p>
      <w:r>
        <w:t>Pentru M2, schema nu stabilește plafonul de 30.000 EUR aplicabil M1, dar plafonul de minimis disponibil rămâne obligatoriu. Pentru Măsura2 nu se confundă „100% din diferența eligibilă” cu „100% din prețul vehiculului”. [S01, art.5,7,8,13,16,18]</w:t>
      </w:r>
    </w:p>
    <w:p>
      <w:pPr>
        <w:pStyle w:val="Heading1"/>
      </w:pPr>
      <w:r>
        <w:t>4. Eligibilitate și documente de pregătit</w:t>
      </w:r>
    </w:p>
    <w:p>
      <w:pPr>
        <w:pStyle w:val="ListBullet"/>
      </w:pPr>
      <w:r>
        <w:t>Firma: ONRC, identificarea beneficiarului, structura de acționariat și firme legate, încadrare IMM, fiscalitate, lipsa insolvenței și a recuperărilor neexecutate, capacitatea tehnică și financiară. Criteriul „întreprindere în dificultate” de la art.10 alin.(1) lit.g este aplicabil strict Măsurii2. [S01, art.7,10]</w:t>
      </w:r>
    </w:p>
    <w:p>
      <w:pPr>
        <w:pStyle w:val="ListBullet"/>
      </w:pPr>
      <w:r>
        <w:t>Capacitate financiară: raport datorii totale / capitaluri proprii pozitiv și sub 7,5 în ultimul an financiar; pentru neîndeplinire și acoperirea contribuției/neeligibilului, schema cere bonitate bancară/scrisoare de confort. Verificarea formei și momentului prezentării se face după ghid. [S01, art.10 alin.(1) lit.h]</w:t>
      </w:r>
    </w:p>
    <w:p>
      <w:pPr>
        <w:pStyle w:val="ListBullet"/>
      </w:pPr>
      <w:r>
        <w:t>Flota veche: talon, CIV, proprietate, categorie, RCA și ITP, istoric. Regula este deținerea de cel puțin un an. Excepția art.5 alin.(4) permite promisiune bilaterală și talon pe solicitant înainte de contractare; pentru Măsura1 se cer RCA/ITP la depunere și aferente anului anterior. MTI clarifică autentificarea notarială și interdicția schimbării vânzătorului. [S01 art.5; S03]</w:t>
      </w:r>
    </w:p>
    <w:p>
      <w:pPr>
        <w:pStyle w:val="ListBullet"/>
      </w:pPr>
      <w:r>
        <w:t>Vehiculul nou: BEV nou, încărcat extern; M1/M2 pentru Măsura1. Hibridele, PHEV, second-hand și autoutilitarele N1 nu se încadrează în aceste categorii ale Măsurii1. Pentru M1 se verifică aceeași categorie și grupă ori grupă echivalentă a vehiculului înlocuit. [S01 art.11 și 18]</w:t>
      </w:r>
    </w:p>
    <w:p>
      <w:pPr>
        <w:pStyle w:val="ListBullet"/>
      </w:pPr>
      <w:r>
        <w:t>Oferte: fundamentarea costului prin cel puțin două surse verificabile potrivit art.11; pentru Măsura2 anexa2 cere minimum două oferte pentru fiecare tip electric și convențional, cu excepții motivate. Pentru Măsura1 pregătiți două oferte comparabile; lista finală se confirmă în ghid. [S01 art.11 și anexa2]</w:t>
      </w:r>
    </w:p>
    <w:p>
      <w:pPr>
        <w:pStyle w:val="ListBullet"/>
      </w:pPr>
      <w:r>
        <w:t>Analiza de oportunitate: necesitate, opțiunea tehnică, dimensionare, eficacitate și durabilitate; DNSH și cerințele de publicitate se completează potrivit ghidului. [S01 art.9,11]</w:t>
      </w:r>
    </w:p>
    <w:p>
      <w:pPr>
        <w:pStyle w:val="ListBullet"/>
      </w:pPr>
      <w:r>
        <w:t>Nu demarați investiția și nu plasați comenzi ferme înainte de cerere; solicitările neangajante de ofertă sunt etapa de pregătire. După cerere se verifică suplimentar regulile achiziției și contractului, înainte de angajarea costului. [S01 art.5,6,11,19]</w:t>
      </w:r>
    </w:p>
    <w:p>
      <w:pPr>
        <w:pStyle w:val="ListBullet"/>
      </w:pPr>
      <w:r>
        <w:t>Înlocuirea presupune dovada casării în 60 de zile de la recepția vehiculului nou; simpla vânzare a celui vechi nu satisface obligația. Durabilitatea este 5 ani de la finalizarea implementării; bunul nu se înstrăinează și activitatea asumată se menține. [S01 art.5 alin.(8),10 alin.(3)]</w:t>
      </w:r>
    </w:p>
    <w:p>
      <w:pPr>
        <w:pStyle w:val="ListBullet"/>
      </w:pPr>
      <w:r>
        <w:t>Excluderi: producție primară agricolă, pescuit/acvacultură și situațiile specifice din art.5 alin.(9); activitățile mixte pot necesita separare contabilă. Activitățile de transport public compensate au reguli distincte de excludere/separare. [S01 art.5 și 7]</w:t>
      </w:r>
    </w:p>
    <w:p>
      <w:pPr>
        <w:pStyle w:val="ListBullet"/>
      </w:pPr>
      <w:r>
        <w:t>PFA și întreprinderile individuale sunt respinse ca solicitanți eligibili în răspunsul MTI din centralizator; verificarea se face potrivit art.7 și ghidului final. [S03, întrebarea4 eDRIVE]</w:t>
      </w:r>
    </w:p>
    <w:p>
      <w:pPr>
        <w:pStyle w:val="Heading1"/>
      </w:pPr>
      <w:r>
        <w:t>5. Punctajul Măsurii1</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Încadrare IMM</w:t>
            </w:r>
          </w:p>
        </w:tc>
        <w:tc>
          <w:tcPr>
            <w:tcW w:type="dxa" w:w="2880"/>
          </w:tcPr>
          <w:p>
            <w:r>
              <w:t>Punctaj de bază</w:t>
            </w:r>
          </w:p>
        </w:tc>
        <w:tc>
          <w:tcPr>
            <w:tcW w:type="dxa" w:w="2880"/>
          </w:tcPr>
          <w:p>
            <w:r>
              <w:t>Cu dovada asamblării finale UE</w:t>
            </w:r>
          </w:p>
        </w:tc>
      </w:tr>
      <w:tr>
        <w:tc>
          <w:tcPr>
            <w:tcW w:type="dxa" w:w="2880"/>
          </w:tcPr>
          <w:p>
            <w:r>
              <w:t>Microîntreprindere</w:t>
            </w:r>
          </w:p>
        </w:tc>
        <w:tc>
          <w:tcPr>
            <w:tcW w:type="dxa" w:w="2880"/>
          </w:tcPr>
          <w:p>
            <w:r>
              <w:t>80</w:t>
            </w:r>
          </w:p>
        </w:tc>
        <w:tc>
          <w:tcPr>
            <w:tcW w:type="dxa" w:w="2880"/>
          </w:tcPr>
          <w:p>
            <w:r>
              <w:t>100</w:t>
            </w:r>
          </w:p>
        </w:tc>
      </w:tr>
      <w:tr>
        <w:tc>
          <w:tcPr>
            <w:tcW w:type="dxa" w:w="2880"/>
          </w:tcPr>
          <w:p>
            <w:r>
              <w:t>Întreprindere mică</w:t>
            </w:r>
          </w:p>
        </w:tc>
        <w:tc>
          <w:tcPr>
            <w:tcW w:type="dxa" w:w="2880"/>
          </w:tcPr>
          <w:p>
            <w:r>
              <w:t>70</w:t>
            </w:r>
          </w:p>
        </w:tc>
        <w:tc>
          <w:tcPr>
            <w:tcW w:type="dxa" w:w="2880"/>
          </w:tcPr>
          <w:p>
            <w:r>
              <w:t>90</w:t>
            </w:r>
          </w:p>
        </w:tc>
      </w:tr>
      <w:tr>
        <w:tc>
          <w:tcPr>
            <w:tcW w:type="dxa" w:w="2880"/>
          </w:tcPr>
          <w:p>
            <w:r>
              <w:t>Întreprindere mijlocie</w:t>
            </w:r>
          </w:p>
        </w:tc>
        <w:tc>
          <w:tcPr>
            <w:tcW w:type="dxa" w:w="2880"/>
          </w:tcPr>
          <w:p>
            <w:r>
              <w:t>65</w:t>
            </w:r>
          </w:p>
        </w:tc>
        <w:tc>
          <w:tcPr>
            <w:tcW w:type="dxa" w:w="2880"/>
          </w:tcPr>
          <w:p>
            <w:r>
              <w:t>85</w:t>
            </w:r>
          </w:p>
        </w:tc>
      </w:tr>
    </w:tbl>
    <w:p>
      <w:r>
        <w:t>Dovada UE este despre asamblarea finală, nu marca sau țara dealerului. La egalitate prevalează criteriul UE, apoi data și ora recipisei. Criteriul poate influența alegerea vehiculului; nu reprezintă o garanție de finanțare. Pentru proiecte cu mai multe modele și origini, modul de aplicare se verifică în ghid. [S01 art.16 alin.(6)-(7)]</w:t>
      </w:r>
    </w:p>
    <w:p>
      <w:pPr>
        <w:pStyle w:val="Heading1"/>
      </w:pPr>
      <w:r>
        <w:t>6. Calcul financiar și exemple</w:t>
      </w:r>
    </w:p>
    <w:p>
      <w:r>
        <w:t>Pentru M1: grantul maxim orientativ = minimum dintre costul eligibil fără TVA, 30.000 EUR × numărul vehiculelor eligibile și plafonul minimis rămas. Grantul acordat depinde de verificare, punctaj și buget. Soldul minimis se calculează pe întreprindere unică, pe baza datei acordării dreptului la ajutor, nu doar a datei încasării. Perioada de trei ani este mobilă. Fuziunile, achizițiile și alte regimuri de minimis se verifică distinct; nu orice finanțare publică este automat minimis general. [S01 art.8,16,20]</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Scenariu ilustrativ</w:t>
            </w:r>
          </w:p>
        </w:tc>
        <w:tc>
          <w:tcPr>
            <w:tcW w:type="dxa" w:w="2880"/>
          </w:tcPr>
          <w:p>
            <w:r>
              <w:t>Grant maxim înainte de verificare</w:t>
            </w:r>
          </w:p>
        </w:tc>
        <w:tc>
          <w:tcPr>
            <w:tcW w:type="dxa" w:w="2880"/>
          </w:tcPr>
          <w:p>
            <w:r>
              <w:t>Efort propriu</w:t>
            </w:r>
          </w:p>
        </w:tc>
      </w:tr>
      <w:tr>
        <w:tc>
          <w:tcPr>
            <w:tcW w:type="dxa" w:w="2880"/>
          </w:tcPr>
          <w:p>
            <w:r>
              <w:t>1 M1 de 25.000 EUR net; sold suficient</w:t>
            </w:r>
          </w:p>
        </w:tc>
        <w:tc>
          <w:tcPr>
            <w:tcW w:type="dxa" w:w="2880"/>
          </w:tcPr>
          <w:p>
            <w:r>
              <w:t>25.000 EUR</w:t>
            </w:r>
          </w:p>
        </w:tc>
        <w:tc>
          <w:tcPr>
            <w:tcW w:type="dxa" w:w="2880"/>
          </w:tcPr>
          <w:p>
            <w:r>
              <w:t>TVA și alte costuri neeligibile</w:t>
            </w:r>
          </w:p>
        </w:tc>
      </w:tr>
      <w:tr>
        <w:tc>
          <w:tcPr>
            <w:tcW w:type="dxa" w:w="2880"/>
          </w:tcPr>
          <w:p>
            <w:r>
              <w:t>1 M1 de 35.000 EUR net; sold suficient</w:t>
            </w:r>
          </w:p>
        </w:tc>
        <w:tc>
          <w:tcPr>
            <w:tcW w:type="dxa" w:w="2880"/>
          </w:tcPr>
          <w:p>
            <w:r>
              <w:t>30.000 EUR</w:t>
            </w:r>
          </w:p>
        </w:tc>
        <w:tc>
          <w:tcPr>
            <w:tcW w:type="dxa" w:w="2880"/>
          </w:tcPr>
          <w:p>
            <w:r>
              <w:t>5.000 EUR + TVA pe întreaga factură + neeligibile</w:t>
            </w:r>
          </w:p>
        </w:tc>
      </w:tr>
      <w:tr>
        <w:tc>
          <w:tcPr>
            <w:tcW w:type="dxa" w:w="2880"/>
          </w:tcPr>
          <w:p>
            <w:r>
              <w:t>10 M1 × 30.000 EUR net; zero minimis anterior</w:t>
            </w:r>
          </w:p>
        </w:tc>
        <w:tc>
          <w:tcPr>
            <w:tcW w:type="dxa" w:w="2880"/>
          </w:tcPr>
          <w:p>
            <w:r>
              <w:t>300.000 EUR</w:t>
            </w:r>
          </w:p>
        </w:tc>
        <w:tc>
          <w:tcPr>
            <w:tcW w:type="dxa" w:w="2880"/>
          </w:tcPr>
          <w:p>
            <w:r>
              <w:t>TVA + neeligibile; necesare 10 înlocuiri eligibile</w:t>
            </w:r>
          </w:p>
        </w:tc>
      </w:tr>
      <w:tr>
        <w:tc>
          <w:tcPr>
            <w:tcW w:type="dxa" w:w="2880"/>
          </w:tcPr>
          <w:p>
            <w:r>
              <w:t>Minimis anterior 100.000 EUR; 7 M1 × 30.000 EUR</w:t>
            </w:r>
          </w:p>
        </w:tc>
        <w:tc>
          <w:tcPr>
            <w:tcW w:type="dxa" w:w="2880"/>
          </w:tcPr>
          <w:p>
            <w:r>
              <w:t>Maximum 200.000 EUR cumulat</w:t>
            </w:r>
          </w:p>
        </w:tc>
        <w:tc>
          <w:tcPr>
            <w:tcW w:type="dxa" w:w="2880"/>
          </w:tcPr>
          <w:p>
            <w:r>
              <w:t>10.000 EUR din prețul net + TVA + neeligibile</w:t>
            </w:r>
          </w:p>
        </w:tc>
      </w:tr>
    </w:tbl>
    <w:p>
      <w:r>
        <w:t>Exemplele nu sunt bugetul unei firme concrete. În registrul Excel, cota TVA se introduce din oferta/factura aplicabilă; nu este presupusă și nu se stabilește tratamentul fiscal al deductibilității. Cursul de calcul prevăzut de schema recuperată este InforEuro din iunie2026; se revalidează în ghid și în eventualele modificări. [S01 art.13 și16]</w:t>
      </w:r>
    </w:p>
    <w:p>
      <w:pPr>
        <w:pStyle w:val="Heading1"/>
      </w:pPr>
      <w:r>
        <w:t>7. Calendar și finalizarea proiectului</w:t>
      </w:r>
    </w:p>
    <w:tbl>
      <w:tblPr>
        <w:tblStyle w:val="LightShading-Accent1"/>
        <w:tblW w:type="auto" w:w="0"/>
        <w:tblLook w:firstColumn="1" w:firstRow="1" w:lastColumn="0" w:lastRow="0" w:noHBand="0" w:noVBand="1" w:val="04A0"/>
      </w:tblPr>
      <w:tblGrid>
        <w:gridCol w:w="4320"/>
        <w:gridCol w:w="4320"/>
      </w:tblGrid>
      <w:tr>
        <w:tc>
          <w:tcPr>
            <w:tcW w:type="dxa" w:w="4320"/>
          </w:tcPr>
          <w:p>
            <w:r>
              <w:t>Reper</w:t>
            </w:r>
          </w:p>
        </w:tc>
        <w:tc>
          <w:tcPr>
            <w:tcW w:type="dxa" w:w="4320"/>
          </w:tcPr>
          <w:p>
            <w:r>
              <w:t>Regulă verificată</w:t>
            </w:r>
          </w:p>
        </w:tc>
      </w:tr>
      <w:tr>
        <w:tc>
          <w:tcPr>
            <w:tcW w:type="dxa" w:w="4320"/>
          </w:tcPr>
          <w:p>
            <w:r>
              <w:t>Depunere</w:t>
            </w:r>
          </w:p>
        </w:tc>
        <w:tc>
          <w:tcPr>
            <w:tcW w:type="dxa" w:w="4320"/>
          </w:tcPr>
          <w:p>
            <w:r>
              <w:t>Data și platforma eDRIVE nu sunt confirmate; nu utilizați calendarul e-Mobility RO.</w:t>
            </w:r>
          </w:p>
        </w:tc>
      </w:tr>
      <w:tr>
        <w:tc>
          <w:tcPr>
            <w:tcW w:type="dxa" w:w="4320"/>
          </w:tcPr>
          <w:p>
            <w:r>
              <w:t>Valabilitate schemă</w:t>
            </w:r>
          </w:p>
        </w:tc>
        <w:tc>
          <w:tcPr>
            <w:tcW w:type="dxa" w:w="4320"/>
          </w:tcPr>
          <w:p>
            <w:r>
              <w:t>Până la 31.12.2028; nu este termen de apel.</w:t>
            </w:r>
          </w:p>
        </w:tc>
      </w:tr>
      <w:tr>
        <w:tc>
          <w:tcPr>
            <w:tcW w:type="dxa" w:w="4320"/>
          </w:tcPr>
          <w:p>
            <w:r>
              <w:t>Implementare</w:t>
            </w:r>
          </w:p>
        </w:tc>
        <w:tc>
          <w:tcPr>
            <w:tcW w:type="dxa" w:w="4320"/>
          </w:tcPr>
          <w:p>
            <w:r>
              <w:t>Nu mai târziu de 30.06.2030; contractul poate impune un termen mai scurt.</w:t>
            </w:r>
          </w:p>
        </w:tc>
      </w:tr>
      <w:tr>
        <w:tc>
          <w:tcPr>
            <w:tcW w:type="dxa" w:w="4320"/>
          </w:tcPr>
          <w:p>
            <w:r>
              <w:t>Plăți</w:t>
            </w:r>
          </w:p>
        </w:tc>
        <w:tc>
          <w:tcPr>
            <w:tcW w:type="dxa" w:w="4320"/>
          </w:tcPr>
          <w:p>
            <w:r>
              <w:t>Până la 31.12.2030, potrivit schemei.</w:t>
            </w:r>
          </w:p>
        </w:tc>
      </w:tr>
      <w:tr>
        <w:tc>
          <w:tcPr>
            <w:tcW w:type="dxa" w:w="4320"/>
          </w:tcPr>
          <w:p>
            <w:r>
              <w:t>Casare</w:t>
            </w:r>
          </w:p>
        </w:tc>
        <w:tc>
          <w:tcPr>
            <w:tcW w:type="dxa" w:w="4320"/>
          </w:tcPr>
          <w:p>
            <w:r>
              <w:t>Dovadă în 60 zile de la recepția fiecărui vehicul nou.</w:t>
            </w:r>
          </w:p>
        </w:tc>
      </w:tr>
      <w:tr>
        <w:tc>
          <w:tcPr>
            <w:tcW w:type="dxa" w:w="4320"/>
          </w:tcPr>
          <w:p>
            <w:r>
              <w:t>Durabilitate</w:t>
            </w:r>
          </w:p>
        </w:tc>
        <w:tc>
          <w:tcPr>
            <w:tcW w:type="dxa" w:w="4320"/>
          </w:tcPr>
          <w:p>
            <w:r>
              <w:t>5 ani de la finalizarea implementării.</w:t>
            </w:r>
          </w:p>
        </w:tc>
      </w:tr>
      <w:tr>
        <w:tc>
          <w:tcPr>
            <w:tcW w:type="dxa" w:w="4320"/>
          </w:tcPr>
          <w:p>
            <w:r>
              <w:t>Arhivare</w:t>
            </w:r>
          </w:p>
        </w:tc>
        <w:tc>
          <w:tcPr>
            <w:tcW w:type="dxa" w:w="4320"/>
          </w:tcPr>
          <w:p>
            <w:r>
              <w:t>Art.23 impune evidențe minimum10 ani în condițiile sale; termenul aplicabil dosarului se corelează cu contractul și regimul de minimis.</w:t>
            </w:r>
          </w:p>
        </w:tc>
      </w:tr>
      <w:tr>
        <w:tc>
          <w:tcPr>
            <w:tcW w:type="dxa" w:w="4320"/>
          </w:tcPr>
          <w:p>
            <w:r>
              <w:t>Măsura2 după 2026</w:t>
            </w:r>
          </w:p>
        </w:tc>
        <w:tc>
          <w:tcPr>
            <w:tcW w:type="dxa" w:w="4320"/>
          </w:tcPr>
          <w:p>
            <w:r>
              <w:t>OMTI817 înlocuiește condiția privind contractele după expirarea perioadei de tranziție; nu se aplică automat o interdicție de la 01.01.2027 Măsurii1.</w:t>
            </w:r>
          </w:p>
        </w:tc>
      </w:tr>
    </w:tbl>
    <w:p>
      <w:r>
        <w:t>Etape de închidere: recepție și casare → reconciliere contabilă și decont final → raport final și acceptare → monitorizare pe întreaga durabilitate → închiderea obligațiilor și inventarul arhivei. O plată finală nu încheie obligațiile de durabilitate. [S01 art.10–12,23; S02]</w:t>
      </w:r>
    </w:p>
    <w:p>
      <w:pPr>
        <w:pStyle w:val="Heading1"/>
      </w:pPr>
      <w:r>
        <w:t>8. Rezultatele cercetării locale</w:t>
      </w:r>
    </w:p>
    <w:tbl>
      <w:tblPr>
        <w:tblStyle w:val="LightShading-Accent1"/>
        <w:tblW w:type="auto" w:w="0"/>
        <w:tblLook w:firstColumn="1" w:firstRow="1" w:lastColumn="0" w:lastRow="0" w:noHBand="0" w:noVBand="1" w:val="04A0"/>
      </w:tblPr>
      <w:tblGrid>
        <w:gridCol w:w="4320"/>
        <w:gridCol w:w="4320"/>
      </w:tblGrid>
      <w:tr>
        <w:tc>
          <w:tcPr>
            <w:tcW w:type="dxa" w:w="4320"/>
          </w:tcPr>
          <w:p>
            <w:r>
              <w:t>Rădăcină</w:t>
            </w:r>
          </w:p>
        </w:tc>
        <w:tc>
          <w:tcPr>
            <w:tcW w:type="dxa" w:w="4320"/>
          </w:tcPr>
          <w:p>
            <w:r>
              <w:t>Fișiere inventariate</w:t>
            </w:r>
          </w:p>
        </w:tc>
      </w:tr>
      <w:tr>
        <w:tc>
          <w:tcPr>
            <w:tcW w:type="dxa" w:w="4320"/>
          </w:tcPr>
          <w:p>
            <w:r>
              <w:t>\\192.168.100.169\Comun\00. Proiecte 2026 - SCRIEM</w:t>
            </w:r>
          </w:p>
        </w:tc>
        <w:tc>
          <w:tcPr>
            <w:tcW w:type="dxa" w:w="4320"/>
          </w:tcPr>
          <w:p>
            <w:r>
              <w:t>291</w:t>
            </w:r>
          </w:p>
        </w:tc>
      </w:tr>
      <w:tr>
        <w:tc>
          <w:tcPr>
            <w:tcW w:type="dxa" w:w="4320"/>
          </w:tcPr>
          <w:p>
            <w:r>
              <w:t>\\192.168.100.169\Comun\00. Proiecte 2026</w:t>
            </w:r>
          </w:p>
        </w:tc>
        <w:tc>
          <w:tcPr>
            <w:tcW w:type="dxa" w:w="4320"/>
          </w:tcPr>
          <w:p>
            <w:r>
              <w:t>342</w:t>
            </w:r>
          </w:p>
        </w:tc>
      </w:tr>
    </w:tbl>
    <w:p>
      <w:r>
        <w:t>Inventarul cuprinde 633 fișiere și 144 directoare, inclusiv cele două rădăcini, înaintea creării livrabilelor. Folderul eDrive era gol. Sunt inventariate numele și metadatele; conținutul extractibil a fost cercetat pentru eDrive și referințe la 30.000 EUR. Citirea nu a modificat fișierele originale.</w:t>
      </w:r>
    </w:p>
    <w:p>
      <w:r>
        <w:t>Rezultate de căutare în text: 19 fișiere cu potriviri pentru eDrive sau 30.000 EUR; dintre acestea 0 conțin o potrivire eDrive în fragmentele păstrate. Referințele generale la 30.000 EUR sau la minimis din alte programe nu dovedesc eligibilitatea eDrive. Nu s-au copiat anexe ale altor programe în dosarul oficial eDrive.</w:t>
      </w:r>
    </w:p>
    <w:p>
      <w:r>
        <w:t>Limite: 44 fișiere au format neanalizat, erori, text PDF neextractibil, arhive doar indexate ori excludere din citirea conținutului (fișiere de acces). Nu s-a efectuat OCR și nu s-au extras arhivele; lista exactă și rezultatele fiecărui fișier sunt în registru. Absența unei potriviri nu garantează absența informației în aceste fișiere.</w:t>
      </w:r>
    </w:p>
    <w:p>
      <w:r>
        <w:t>Structurile observate folosesc documente oficiale de program și dosare de beneficiari; cel mai complet exemplu identificat este SRM DESIGN din POCIDIF. Standardul păstrează numerotarea etapelor avansate și introduce începutul comun 00 Arhiva / 01 Documente originale. Nu s-a stabilit eligibilitatea unei firme anume, fiindcă nu au fost indicate beneficiarul și flota propusă.</w:t>
      </w:r>
    </w:p>
    <w:p>
      <w:pPr>
        <w:pStyle w:val="Heading1"/>
      </w:pPr>
      <w:r>
        <w:t>9. Programe învecinate și întrebări rămase</w:t>
      </w:r>
    </w:p>
    <w:p>
      <w:r>
        <w:t>eDRIVE finanțează vehiculele. e-MOVE RO și e-Mobility RO vizează infrastructura de încărcare, cu reguli și apeluri distincte; nu se includ stațiile în bugetul eDRIVE fără bază oficială. Rabla AFM este un program distinct și nu se cumulează automat pe aceleași costuri. Monitorul Oficial739 include și modificările schemelor pentru încărcare și transport de mărfuri, utile numai pentru cercetare separată.</w:t>
      </w:r>
    </w:p>
    <w:p>
      <w:pPr>
        <w:pStyle w:val="ListBullet"/>
      </w:pPr>
      <w:r>
        <w:t>De confirmat: ghid final eDRIVE, anexele oficiale, platforma, perioada și bugetul apelului.</w:t>
      </w:r>
    </w:p>
    <w:p>
      <w:pPr>
        <w:pStyle w:val="ListBullet"/>
      </w:pPr>
      <w:r>
        <w:t>De completat: firma/CUI, încadrarea IMM și întreprinderea unică, registrul complet al ajutoarelor și datele acordării.</w:t>
      </w:r>
    </w:p>
    <w:p>
      <w:pPr>
        <w:pStyle w:val="ListBullet"/>
      </w:pPr>
      <w:r>
        <w:t>De completat: vehiculele vechi, taloanele, RCA/ITP și eventuala promisiune notarială; modelele electrice și ofertele cu TVA separat.</w:t>
      </w:r>
    </w:p>
    <w:p>
      <w:pPr>
        <w:pStyle w:val="ListBullet"/>
      </w:pPr>
      <w:r>
        <w:t>De verificat după ghid: documente de depunere, curs, formularea grupei echivalente, procedura achiziției, mecanismul de plată și tratamentul proiectelor cu mai multe vehicule.</w:t>
      </w:r>
    </w:p>
    <w:p>
      <w:pPr>
        <w:pStyle w:val="Heading1"/>
      </w:pPr>
      <w:r>
        <w:t>10. Registrul surselor</w:t>
      </w:r>
    </w:p>
    <w:p>
      <w:pPr>
        <w:pStyle w:val="Heading2"/>
      </w:pPr>
      <w:r>
        <w:t>S01 — Monitorul Oficial 655 - OMTI 742 din 03.08.2026</w:t>
      </w:r>
    </w:p>
    <w:p>
      <w:r>
        <w:t>https://monitorlegal.ro/wp-content/uploads/2026/08/mof-655-2026.pdf</w:t>
      </w:r>
    </w:p>
    <w:p>
      <w:r>
        <w:t>Act oficial; copie găzduită de terț | Acces/cercetare: 2026-10-01 | descărcat</w:t>
      </w:r>
    </w:p>
    <w:p>
      <w:r>
        <w:t>Copie în dosar: 01. Documente originale/01. Acte normative/2026-08-07_MOf655_OMTI742_eDRIVE.pdf</w:t>
      </w:r>
    </w:p>
    <w:p>
      <w:pPr>
        <w:pStyle w:val="Heading2"/>
      </w:pPr>
      <w:r>
        <w:t>S02 — Monitorul Oficial 739 - OMTI 817 din 01.09.2026</w:t>
      </w:r>
    </w:p>
    <w:p>
      <w:r>
        <w:t>https://monitorlegal.ro/wp-content/uploads/2026/09/mof-739-2026.pdf</w:t>
      </w:r>
    </w:p>
    <w:p>
      <w:r>
        <w:t>Act oficial; copie găzduită de terț | Acces/cercetare: 2026-10-01 | descărcat</w:t>
      </w:r>
    </w:p>
    <w:p>
      <w:r>
        <w:t>Copie în dosar: 01. Documente originale/01. Acte normative/2026-09-02_MOf739_OMTI817_eDRIVE.pdf</w:t>
      </w:r>
    </w:p>
    <w:p>
      <w:pPr>
        <w:pStyle w:val="Heading2"/>
      </w:pPr>
      <w:r>
        <w:t>S03 — MTI centralizator consultări scheme revizuite septembrie 2026</w:t>
      </w:r>
    </w:p>
    <w:p>
      <w:r>
        <w:t>https://fonduri-structurale-media.s3.eu-central-1.amazonaws.com/rev_Centralizator_raspunsuri_Scheme_revizuite_septembrie_2026_9841565907.docx</w:t>
      </w:r>
    </w:p>
    <w:p>
      <w:r>
        <w:t>Document MTI; copie preluată prin Fonduri Structurale | Acces/cercetare: 2026-10-01 | descărcat</w:t>
      </w:r>
    </w:p>
    <w:p>
      <w:r>
        <w:t>Copie în dosar: 01. Documente originale/02. Clarificari oficiale/2026-09-17_MTI_Centralizator_scheme_revizuite.docx</w:t>
      </w:r>
    </w:p>
    <w:p>
      <w:pPr>
        <w:pStyle w:val="Heading2"/>
      </w:pPr>
      <w:r>
        <w:t>S04 — Regulamentul UE 2023/2831 de minimis</w:t>
      </w:r>
    </w:p>
    <w:p>
      <w:r>
        <w:t>https://eur-lex.europa.eu/legal-content/RO/TXT/PDF/?uri=CELEX:32023R2831</w:t>
      </w:r>
    </w:p>
    <w:p>
      <w:r>
        <w:t>Sursă oficială UE | Acces/cercetare: 2026-10-01 | nerecuperat: răspunsul nu este PDF</w:t>
      </w:r>
    </w:p>
    <w:p>
      <w:r>
        <w:t>Copie în dosar: 01. Documente originale/01. Acte normative/2023-12-13_UE_2023_2831_minimis.pdf</w:t>
      </w:r>
    </w:p>
    <w:p>
      <w:pPr>
        <w:pStyle w:val="Heading2"/>
      </w:pPr>
      <w:r>
        <w:t>S05 — MTI pagina oficială eDRIVE</w:t>
      </w:r>
    </w:p>
    <w:p>
      <w:r>
        <w:t>https://fonduri.mt.ro/documente-si-publicatii/finantari-fm/scheme-de-ajutor-de-stat/schema-de-ajutor-de-stat-8</w:t>
      </w:r>
    </w:p>
    <w:p>
      <w:r>
        <w:t>Sursă oficială; acces direct cu erori | Acces/cercetare: 2026-10-01 | link și evaluare din cercetarea web; fără copie integrală</w:t>
      </w:r>
    </w:p>
    <w:p>
      <w:pPr>
        <w:pStyle w:val="Heading2"/>
      </w:pPr>
      <w:r>
        <w:t>S06 — RCG status și sinteză eDRIVE</w:t>
      </w:r>
    </w:p>
    <w:p>
      <w:r>
        <w:t>https://rcgconsulting.ro/e-drive-finantare-vehicule-electrice/</w:t>
      </w:r>
    </w:p>
    <w:p>
      <w:r>
        <w:t>Sursă secundară; verificare declarată 28.09.2026 | Acces/cercetare: 2026-10-01 | link și evaluare din cercetarea web; fără copie integrală</w:t>
      </w:r>
    </w:p>
    <w:p>
      <w:pPr>
        <w:pStyle w:val="Heading2"/>
      </w:pPr>
      <w:r>
        <w:t>S07 — SOV sinteză actualizată 30.09.2026</w:t>
      </w:r>
    </w:p>
    <w:p>
      <w:r>
        <w:t>https://sovconsulting.ro/anunturi/edrive-inlocuire-flota-electrica/30/09/2026/</w:t>
      </w:r>
    </w:p>
    <w:p>
      <w:r>
        <w:t>Sursă secundară | Acces/cercetare: 2026-10-01 | link și evaluare din cercetarea web; fără copie integrală</w:t>
      </w:r>
    </w:p>
    <w:p>
      <w:pPr>
        <w:pStyle w:val="Heading2"/>
      </w:pPr>
      <w:r>
        <w:t>S08 — Fonduri Structurale centralizatoare MTI 18.09.2026</w:t>
      </w:r>
    </w:p>
    <w:p>
      <w:r>
        <w:t>https://fonduri-structurale.ro/stiri/41301/fm-centralizatoarele-privind-propunerile-si-observatiile-pentru-schemele-de-ajutor-de-stat-e-move-ro-e-mobility-ro-si-e-drive</w:t>
      </w:r>
    </w:p>
    <w:p>
      <w:r>
        <w:t>Sursă secundară de identificare a documentelor oficiale | Acces/cercetare: 2026-10-01 | link și evaluare din cercetarea web; fără copie integrală</w:t>
      </w:r>
    </w:p>
    <w:p>
      <w:pPr>
        <w:pStyle w:val="Heading2"/>
      </w:pPr>
      <w:r>
        <w:t>S09 — Portal Legislativ schema inițială eDRIVE</w:t>
      </w:r>
    </w:p>
    <w:p>
      <w:r>
        <w:t>https://legislatie.just.ro/Public/DetaliiDocument/306914</w:t>
      </w:r>
    </w:p>
    <w:p>
      <w:r>
        <w:t>Sursă oficială; pagina identificată prezintă forma veche, nu substituie modificările din august/septembrie | Acces/cercetare: 2026-10-01 | link și evaluare din cercetarea web; fără copie integrală</w:t>
      </w:r>
    </w:p>
    <w:sectPr w:rsidR="00FC693F" w:rsidRPr="0006063C" w:rsidSect="00034616">
      <w:footerReference w:type="default" r:id="rId9"/>
      <w:pgSz w:w="12240" w:h="15840"/>
      <w:pgMar w:top="936" w:right="1800" w:bottom="86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eDRIVE — cercetare și organizare | 01.10.2026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