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de gestionare a dosarelor de finanțare</w:t>
      </w:r>
    </w:p>
    <w:p>
      <w:r>
        <w:t>Actualizat la 1 octombrie 2026 | Standard intern v1.0</w:t>
      </w:r>
    </w:p>
    <w:p>
      <w:r>
        <w:t>Standardul acoperă pregătirea, depunerea, evaluarea, contractarea, implementarea, decontarea, durabilitatea și închiderea. A fost aplicat în folderul eDrive. Celelalte dosare existente nu au fost reorganizate. Modelul ZIP permite folosirea aceleiași structuri pentru proiecte viitoare.</w:t>
      </w:r>
    </w:p>
    <w:p>
      <w:pPr>
        <w:pStyle w:val="Heading1"/>
      </w:pPr>
      <w:r>
        <w:t>1. Organizarea portofoliului</w:t>
      </w:r>
    </w:p>
    <w:p>
      <w:r>
        <w:t>„00. Proiecte 2026” este recomandat pentru biblioteca programelor: documentație oficială și evidența surselor. „00. Proiecte 2026 - SCRIEM” este spațiul operațional: dosare de solicitanți și livrabile. Aceste roluri sunt propunerea standardului, dedusă din structurile observate. Nu se mută fișiere între rădăcini până când dosarul și legăturile sale nu au fost verificate.</w:t>
      </w:r>
    </w:p>
    <w:p>
      <w:r>
        <w:t>Denumire program: AAAA.LL.ZZ Program — data reprezintă data de referință/publicare, cu semnificația scrisă în registru. Folderul existent „2026.01.11 eDrive” rămâne cu numele său; actul inițial a fost publicat la 13.01.2026. Data din numele folderului nu este termen de depunere.</w:t>
      </w:r>
    </w:p>
    <w:p>
      <w:r>
        <w:t>Pentru mai mulți beneficiari: folder comun cu „01. Documente originale” și registre de program; dosare separate „P01. NUME FIRMA - CUI”, „P02. NUME FIRMA - CUI”. În fiecare se aplică structura de mai jos; documentele oficiale se referențiază din biblioteca comună. Nu reutilizați CUI, taloane sau declarații între solicitanți.</w:t>
      </w:r>
    </w:p>
    <w:p>
      <w:pPr>
        <w:pStyle w:val="Heading1"/>
      </w:pPr>
      <w:r>
        <w:t>2. Structura completă</w:t>
      </w:r>
    </w:p>
    <w:tbl>
      <w:tblPr>
        <w:tblStyle w:val="LightShading-Accent1"/>
        <w:tblW w:type="auto" w:w="0"/>
        <w:tblLook w:firstColumn="1" w:firstRow="1" w:lastColumn="0" w:lastRow="0" w:noHBand="0" w:noVBand="1" w:val="04A0"/>
      </w:tblPr>
      <w:tblGrid>
        <w:gridCol w:w="4320"/>
        <w:gridCol w:w="4320"/>
      </w:tblGrid>
      <w:tr>
        <w:tc>
          <w:tcPr>
            <w:tcW w:type="dxa" w:w="4320"/>
          </w:tcPr>
          <w:p>
            <w:r>
              <w:t>Folder</w:t>
            </w:r>
          </w:p>
        </w:tc>
        <w:tc>
          <w:tcPr>
            <w:tcW w:type="dxa" w:w="4320"/>
          </w:tcPr>
          <w:p>
            <w:r>
              <w:t>Conținut și rezultat</w:t>
            </w:r>
          </w:p>
        </w:tc>
      </w:tr>
      <w:tr>
        <w:tc>
          <w:tcPr>
            <w:tcW w:type="dxa" w:w="4320"/>
          </w:tcPr>
          <w:p>
            <w:r>
              <w:t>00. Arhiva</w:t>
            </w:r>
          </w:p>
        </w:tc>
        <w:tc>
          <w:tcPr>
            <w:tcW w:type="dxa" w:w="4320"/>
          </w:tcPr>
          <w:p>
            <w:r>
              <w:t>Versiuni înlocuite și documente retrase. Păstrați motivul și data retragerii; nu ștergeți documentele depuse sau semnate.</w:t>
            </w:r>
          </w:p>
        </w:tc>
      </w:tr>
      <w:tr>
        <w:tc>
          <w:tcPr>
            <w:tcW w:type="dxa" w:w="4320"/>
          </w:tcPr>
          <w:p>
            <w:r>
              <w:t>01. Documente originale</w:t>
            </w:r>
          </w:p>
        </w:tc>
        <w:tc>
          <w:tcPr>
            <w:tcW w:type="dxa" w:w="4320"/>
          </w:tcPr>
          <w:p>
            <w:r>
              <w:t>Actele normative, ghidul și anexele goale rămân în forma descărcată. Înregistrați URL, emitent, data publicării, data descărcării și versiunea. Copiile prin terți se marchează distinct.</w:t>
            </w:r>
          </w:p>
        </w:tc>
      </w:tr>
      <w:tr>
        <w:tc>
          <w:tcPr>
            <w:tcW w:type="dxa" w:w="4320"/>
          </w:tcPr>
          <w:p>
            <w:r>
              <w:t>02. Coordonare si registre</w:t>
            </w:r>
          </w:p>
        </w:tc>
        <w:tc>
          <w:tcPr>
            <w:tcW w:type="dxa" w:w="4320"/>
          </w:tcPr>
          <w:p>
            <w:r>
              <w:t>Registrul unic, responsabili, calendar, decizii și lista blocajelor. Sarcinile interne nu reprezintă termene oficiale de apel.</w:t>
            </w:r>
          </w:p>
        </w:tc>
      </w:tr>
      <w:tr>
        <w:tc>
          <w:tcPr>
            <w:tcW w:type="dxa" w:w="4320"/>
          </w:tcPr>
          <w:p>
            <w:r>
              <w:t>03. Cercetare si inventar</w:t>
            </w:r>
          </w:p>
        </w:tc>
        <w:tc>
          <w:tcPr>
            <w:tcW w:type="dxa" w:w="4320"/>
          </w:tcPr>
          <w:p>
            <w:r>
              <w:t>Inventarul celor două rădăcini, sursele web, analiza comparativă și limitele verificării. Documentele altor programe nu sunt anexe eDrive.</w:t>
            </w:r>
          </w:p>
        </w:tc>
      </w:tr>
      <w:tr>
        <w:tc>
          <w:tcPr>
            <w:tcW w:type="dxa" w:w="4320"/>
          </w:tcPr>
          <w:p>
            <w:r>
              <w:t>10. Eligibilitate solicitant si minimis</w:t>
            </w:r>
          </w:p>
        </w:tc>
        <w:tc>
          <w:tcPr>
            <w:tcW w:type="dxa" w:w="4320"/>
          </w:tcPr>
          <w:p>
            <w:r>
              <w:t>CUI, certificat ONRC, IMM și întreprinderi legate, situații financiare, fiscalitate, cumulul minimis pe întreprindere unică. Validați excluderile și capacitatea financiară.</w:t>
            </w:r>
          </w:p>
        </w:tc>
      </w:tr>
      <w:tr>
        <w:tc>
          <w:tcPr>
            <w:tcW w:type="dxa" w:w="4320"/>
          </w:tcPr>
          <w:p>
            <w:r>
              <w:t>11. Flota existenta si inlocuire</w:t>
            </w:r>
          </w:p>
        </w:tc>
        <w:tc>
          <w:tcPr>
            <w:tcW w:type="dxa" w:w="4320"/>
          </w:tcPr>
          <w:p>
            <w:r>
              <w:t>Pentru fiecare vehicul: ID intern și VIN, categorie, proprietar, talon, CIV, RCA, ITP și perioada de deținere. Excepția promisiunii se analizează conform OMTI817 și clarificărilor MTI.</w:t>
            </w:r>
          </w:p>
        </w:tc>
      </w:tr>
      <w:tr>
        <w:tc>
          <w:tcPr>
            <w:tcW w:type="dxa" w:w="4320"/>
          </w:tcPr>
          <w:p>
            <w:r>
              <w:t>12. Analiza oportunitate si DNSH</w:t>
            </w:r>
          </w:p>
        </w:tc>
        <w:tc>
          <w:tcPr>
            <w:tcW w:type="dxa" w:w="4320"/>
          </w:tcPr>
          <w:p>
            <w:r>
              <w:t>Justificați necesitatea, dimensionarea flotei, opțiunea electrică, utilizarea, încărcarea și durabilitatea. Cerințele finale DNSH se completează după ghid.</w:t>
            </w:r>
          </w:p>
        </w:tc>
      </w:tr>
      <w:tr>
        <w:tc>
          <w:tcPr>
            <w:tcW w:type="dxa" w:w="4320"/>
          </w:tcPr>
          <w:p>
            <w:r>
              <w:t>13. Oferte si documente tehnice</w:t>
            </w:r>
          </w:p>
        </w:tc>
        <w:tc>
          <w:tcPr>
            <w:tcW w:type="dxa" w:w="4320"/>
          </w:tcPr>
          <w:p>
            <w:r>
              <w:t>Oferte comparabile, configurații, preț fără TVA, TVA separat, categorie/grupă echivalentă, termen livrare și dovada asamblării finale UE. Nu confundați ofertele cu comenzi ferme.</w:t>
            </w:r>
          </w:p>
        </w:tc>
      </w:tr>
      <w:tr>
        <w:tc>
          <w:tcPr>
            <w:tcW w:type="dxa" w:w="4320"/>
          </w:tcPr>
          <w:p>
            <w:r>
              <w:t>14. Buget TVA si surse proprii</w:t>
            </w:r>
          </w:p>
        </w:tc>
        <w:tc>
          <w:tcPr>
            <w:tcW w:type="dxa" w:w="4320"/>
          </w:tcPr>
          <w:p>
            <w:r>
              <w:t>Calculați grantul limitat de costul eligibil, plafonul pe M1 și soldul minimis. TVA și diferențele sunt finanțate separat. Verificați cursul prevăzut în schema actuală și ghid.</w:t>
            </w:r>
          </w:p>
        </w:tc>
      </w:tr>
      <w:tr>
        <w:tc>
          <w:tcPr>
            <w:tcW w:type="dxa" w:w="4320"/>
          </w:tcPr>
          <w:p>
            <w:r>
              <w:t>15. Cerere si anexe in lucru</w:t>
            </w:r>
          </w:p>
        </w:tc>
        <w:tc>
          <w:tcPr>
            <w:tcW w:type="dxa" w:w="4320"/>
          </w:tcPr>
          <w:p>
            <w:r>
              <w:t>Copii editabile ale modelelor oficiale, versiuni datate, verificare în patru ochi. Modelele interne sunt marcate NEoficial și nu se depun ca anexe ministeriale.</w:t>
            </w:r>
          </w:p>
        </w:tc>
      </w:tr>
      <w:tr>
        <w:tc>
          <w:tcPr>
            <w:tcW w:type="dxa" w:w="4320"/>
          </w:tcPr>
          <w:p>
            <w:r>
              <w:t>19. Dosar depunere</w:t>
            </w:r>
          </w:p>
        </w:tc>
        <w:tc>
          <w:tcPr>
            <w:tcW w:type="dxa" w:w="4320"/>
          </w:tcPr>
          <w:p>
            <w:r>
              <w:t>Separare între pregătit, semnat și depus. Păstrați exact fișierele încărcate, semnăturile, exportul cererii și recipisa cu data/ora; pachetul depus nu se suprascrie.</w:t>
            </w:r>
          </w:p>
        </w:tc>
      </w:tr>
      <w:tr>
        <w:tc>
          <w:tcPr>
            <w:tcW w:type="dxa" w:w="4320"/>
          </w:tcPr>
          <w:p>
            <w:r>
              <w:t>20. Evaluare clarificari si contestatii</w:t>
            </w:r>
          </w:p>
        </w:tc>
        <w:tc>
          <w:tcPr>
            <w:tcW w:type="dxa" w:w="4320"/>
          </w:tcPr>
          <w:p>
            <w:r>
              <w:t>O submapă pentru fiecare solicitare, termen oficial, răspuns semnat și dovada transmiterii. Păstrați punctajul și deciziile de admitere/respingere.</w:t>
            </w:r>
          </w:p>
        </w:tc>
      </w:tr>
      <w:tr>
        <w:tc>
          <w:tcPr>
            <w:tcW w:type="dxa" w:w="4320"/>
          </w:tcPr>
          <w:p>
            <w:r>
              <w:t>30. Contractare</w:t>
            </w:r>
          </w:p>
        </w:tc>
        <w:tc>
          <w:tcPr>
            <w:tcW w:type="dxa" w:w="4320"/>
          </w:tcPr>
          <w:p>
            <w:r>
              <w:t>Documentele actualizate, verificarea cumulului minimis la acordare, contribuția proprie, contractul de finanțare și actele adiționale.</w:t>
            </w:r>
          </w:p>
        </w:tc>
      </w:tr>
      <w:tr>
        <w:tc>
          <w:tcPr>
            <w:tcW w:type="dxa" w:w="4320"/>
          </w:tcPr>
          <w:p>
            <w:r>
              <w:t>40. Implementare</w:t>
            </w:r>
          </w:p>
        </w:tc>
        <w:tc>
          <w:tcPr>
            <w:tcW w:type="dxa" w:w="4320"/>
          </w:tcPr>
          <w:p>
            <w:r>
              <w:t>Achiziția conform regulilor apelului, comenzi/contracte, recepție, VIN și înmatriculare, casarea în termen și raportarea. Calendar distinct pentru fiecare vehicul.</w:t>
            </w:r>
          </w:p>
        </w:tc>
      </w:tr>
      <w:tr>
        <w:tc>
          <w:tcPr>
            <w:tcW w:type="dxa" w:w="4320"/>
          </w:tcPr>
          <w:p>
            <w:r>
              <w:t>50. Plata rambursare si contabilitate</w:t>
            </w:r>
          </w:p>
        </w:tc>
        <w:tc>
          <w:tcPr>
            <w:tcW w:type="dxa" w:w="4320"/>
          </w:tcPr>
          <w:p>
            <w:r>
              <w:t>Facturi, dovezi de plată, extrase, cereri de rambursare/plată potrivit mecanismului din ghid, verificări și încasări. Evidență contabilă distinctă și evitarea dublei finanțări.</w:t>
            </w:r>
          </w:p>
        </w:tc>
      </w:tr>
      <w:tr>
        <w:tc>
          <w:tcPr>
            <w:tcW w:type="dxa" w:w="4320"/>
          </w:tcPr>
          <w:p>
            <w:r>
              <w:t>60. Monitorizare si durabilitate</w:t>
            </w:r>
          </w:p>
        </w:tc>
        <w:tc>
          <w:tcPr>
            <w:tcW w:type="dxa" w:w="4320"/>
          </w:tcPr>
          <w:p>
            <w:r>
              <w:t>Menținerea investiției pe 5 ani de la finalizarea implementării. Inventar, utilizare, asigurări și rapoarte. Pentru măsura2, evidența procentului km în România.</w:t>
            </w:r>
          </w:p>
        </w:tc>
      </w:tr>
      <w:tr>
        <w:tc>
          <w:tcPr>
            <w:tcW w:type="dxa" w:w="4320"/>
          </w:tcPr>
          <w:p>
            <w:r>
              <w:t>70. Audit control si nereguli</w:t>
            </w:r>
          </w:p>
        </w:tc>
        <w:tc>
          <w:tcPr>
            <w:tcW w:type="dxa" w:w="4320"/>
          </w:tcPr>
          <w:p>
            <w:r>
              <w:t>Solicitări ale autorităților, documente furnizate, procese-verbale, remedieri și eventuale recuperări. Trasabilitate între ofertă, contract, factură, plată și vehicul.</w:t>
            </w:r>
          </w:p>
        </w:tc>
      </w:tr>
      <w:tr>
        <w:tc>
          <w:tcPr>
            <w:tcW w:type="dxa" w:w="4320"/>
          </w:tcPr>
          <w:p>
            <w:r>
              <w:t>80. Inchidere proiect si arhivare finala</w:t>
            </w:r>
          </w:p>
        </w:tc>
        <w:tc>
          <w:tcPr>
            <w:tcW w:type="dxa" w:w="4320"/>
          </w:tcPr>
          <w:p>
            <w:r>
              <w:t>Raport final, acceptare finală, reconciliere, expirarea durabilității și inventar de arhivă. Păstrarea documentelor respectă schema/contractul și termenele legale; nu declanșați ștergeri automate.</w:t>
            </w:r>
          </w:p>
        </w:tc>
      </w:tr>
    </w:tbl>
    <w:p>
      <w:pPr>
        <w:pStyle w:val="Heading1"/>
      </w:pPr>
      <w:r>
        <w:t>3. Reguli de denumire și versiuni</w:t>
      </w:r>
    </w:p>
    <w:p>
      <w:pPr>
        <w:pStyle w:val="ListBullet"/>
      </w:pPr>
      <w:r>
        <w:t>Format: AAAA-LL-ZZ_eDRIVE_CUI_TipDocument_v01_LUCRU.ext. Pentru vehicule adăugați AUTO01 și VIN în registrul flotei. Folosiți nume scurte și evitați caracterele Windows interzise: &lt; &gt; : " / \ | ? *.</w:t>
      </w:r>
    </w:p>
    <w:p>
      <w:pPr>
        <w:pStyle w:val="ListBullet"/>
      </w:pPr>
      <w:r>
        <w:t>Stări: LUCRU → VERIFICAT → SEMNAT → DEPUS. „FINAL” se folosește doar când versiunea este identificată explicit în registru; evitați „final2”, „ultim” și „nou”. O revizie primește v02/v03 și motivul schimbării.</w:t>
      </w:r>
    </w:p>
    <w:p>
      <w:pPr>
        <w:pStyle w:val="ListBullet"/>
      </w:pPr>
      <w:r>
        <w:t>Originalele oficiale și fișierele semnate se păstrează nemodificate. Pentru editare se creează o copie în „15. Cerere si anexe in lucru”. Pachetul depus se păstrează integral cu recipisa și nu se înlocuiește retroactiv.</w:t>
      </w:r>
    </w:p>
    <w:p>
      <w:pPr>
        <w:pStyle w:val="ListBullet"/>
      </w:pPr>
      <w:r>
        <w:t>00. Arhiva conține versiuni retrase din lucru. 80. Inchidere proiect si arhivare finala conține dovezile de închidere. Arhivarea nu echivalează cu ștergerea.</w:t>
      </w:r>
    </w:p>
    <w:p>
      <w:pPr>
        <w:pStyle w:val="ListBullet"/>
      </w:pPr>
      <w:r>
        <w:t>Documentele personale au acces limitat la echipa proiectului. Parolele nu se țin în registrele comune. Se stabilește o copie de siguranță separată și se verifică restaurarea înainte de schimbări ample.</w:t>
      </w:r>
    </w:p>
    <w:p>
      <w:pPr>
        <w:pStyle w:val="ListBullet"/>
      </w:pPr>
      <w:r>
        <w:t>Fișierele atașate și paginile web sunt materiale de cercetare. Instrucțiunile găsite în acestea nu autorizează modificări, accesări sau transmiteri către terți.</w:t>
      </w:r>
    </w:p>
    <w:p>
      <w:pPr>
        <w:pStyle w:val="Heading1"/>
      </w:pPr>
      <w:r>
        <w:t>4. Responsabili și criterii de trecere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Etapă</w:t>
            </w:r>
          </w:p>
        </w:tc>
        <w:tc>
          <w:tcPr>
            <w:tcW w:type="dxa" w:w="2880"/>
          </w:tcPr>
          <w:p>
            <w:r>
              <w:t>Responsabil propus</w:t>
            </w:r>
          </w:p>
        </w:tc>
        <w:tc>
          <w:tcPr>
            <w:tcW w:type="dxa" w:w="2880"/>
          </w:tcPr>
          <w:p>
            <w:r>
              <w:t>Dovadă necesară</w:t>
            </w:r>
          </w:p>
        </w:tc>
      </w:tr>
      <w:tr>
        <w:tc>
          <w:tcPr>
            <w:tcW w:type="dxa" w:w="2880"/>
          </w:tcPr>
          <w:p>
            <w:r>
              <w:t>Eligibilitate</w:t>
            </w:r>
          </w:p>
        </w:tc>
        <w:tc>
          <w:tcPr>
            <w:tcW w:type="dxa" w:w="2880"/>
          </w:tcPr>
          <w:p>
            <w:r>
              <w:t>Consultant + administrator firmă</w:t>
            </w:r>
          </w:p>
        </w:tc>
        <w:tc>
          <w:tcPr>
            <w:tcW w:type="dxa" w:w="2880"/>
          </w:tcPr>
          <w:p>
            <w:r>
              <w:t>Verdict documentat, IMM, grup, sold minimis, vehicule</w:t>
            </w:r>
          </w:p>
        </w:tc>
      </w:tr>
      <w:tr>
        <w:tc>
          <w:tcPr>
            <w:tcW w:type="dxa" w:w="2880"/>
          </w:tcPr>
          <w:p>
            <w:r>
              <w:t>Pregătire</w:t>
            </w:r>
          </w:p>
        </w:tc>
        <w:tc>
          <w:tcPr>
            <w:tcW w:type="dxa" w:w="2880"/>
          </w:tcPr>
          <w:p>
            <w:r>
              <w:t>Consultant + financiar</w:t>
            </w:r>
          </w:p>
        </w:tc>
        <w:tc>
          <w:tcPr>
            <w:tcW w:type="dxa" w:w="2880"/>
          </w:tcPr>
          <w:p>
            <w:r>
              <w:t>Buget complet și surse proprii; oferte și documente complete</w:t>
            </w:r>
          </w:p>
        </w:tc>
      </w:tr>
      <w:tr>
        <w:tc>
          <w:tcPr>
            <w:tcW w:type="dxa" w:w="2880"/>
          </w:tcPr>
          <w:p>
            <w:r>
              <w:t>Depunere</w:t>
            </w:r>
          </w:p>
        </w:tc>
        <w:tc>
          <w:tcPr>
            <w:tcW w:type="dxa" w:w="2880"/>
          </w:tcPr>
          <w:p>
            <w:r>
              <w:t>Reprezentant legal + consultant</w:t>
            </w:r>
          </w:p>
        </w:tc>
        <w:tc>
          <w:tcPr>
            <w:tcW w:type="dxa" w:w="2880"/>
          </w:tcPr>
          <w:p>
            <w:r>
              <w:t>Dosar semnat, încărcare verificată și recipisă</w:t>
            </w:r>
          </w:p>
        </w:tc>
      </w:tr>
      <w:tr>
        <w:tc>
          <w:tcPr>
            <w:tcW w:type="dxa" w:w="2880"/>
          </w:tcPr>
          <w:p>
            <w:r>
              <w:t>Contractare</w:t>
            </w:r>
          </w:p>
        </w:tc>
        <w:tc>
          <w:tcPr>
            <w:tcW w:type="dxa" w:w="2880"/>
          </w:tcPr>
          <w:p>
            <w:r>
              <w:t>Administrator + financiar</w:t>
            </w:r>
          </w:p>
        </w:tc>
        <w:tc>
          <w:tcPr>
            <w:tcW w:type="dxa" w:w="2880"/>
          </w:tcPr>
          <w:p>
            <w:r>
              <w:t>Contract semnat, eligibilitate și cumul actualizate</w:t>
            </w:r>
          </w:p>
        </w:tc>
      </w:tr>
      <w:tr>
        <w:tc>
          <w:tcPr>
            <w:tcW w:type="dxa" w:w="2880"/>
          </w:tcPr>
          <w:p>
            <w:r>
              <w:t>Implementare</w:t>
            </w:r>
          </w:p>
        </w:tc>
        <w:tc>
          <w:tcPr>
            <w:tcW w:type="dxa" w:w="2880"/>
          </w:tcPr>
          <w:p>
            <w:r>
              <w:t>Responsabil achiziții + administrator</w:t>
            </w:r>
          </w:p>
        </w:tc>
        <w:tc>
          <w:tcPr>
            <w:tcW w:type="dxa" w:w="2880"/>
          </w:tcPr>
          <w:p>
            <w:r>
              <w:t>Achiziție conformă, recepție, înmatriculare și casare</w:t>
            </w:r>
          </w:p>
        </w:tc>
      </w:tr>
      <w:tr>
        <w:tc>
          <w:tcPr>
            <w:tcW w:type="dxa" w:w="2880"/>
          </w:tcPr>
          <w:p>
            <w:r>
              <w:t>Decontare</w:t>
            </w:r>
          </w:p>
        </w:tc>
        <w:tc>
          <w:tcPr>
            <w:tcW w:type="dxa" w:w="2880"/>
          </w:tcPr>
          <w:p>
            <w:r>
              <w:t>Financiar + consultant</w:t>
            </w:r>
          </w:p>
        </w:tc>
        <w:tc>
          <w:tcPr>
            <w:tcW w:type="dxa" w:w="2880"/>
          </w:tcPr>
          <w:p>
            <w:r>
              <w:t>Factură-plată-cerere-încasare reconciliate</w:t>
            </w:r>
          </w:p>
        </w:tc>
      </w:tr>
      <w:tr>
        <w:tc>
          <w:tcPr>
            <w:tcW w:type="dxa" w:w="2880"/>
          </w:tcPr>
          <w:p>
            <w:r>
              <w:t>Durabilitate</w:t>
            </w:r>
          </w:p>
        </w:tc>
        <w:tc>
          <w:tcPr>
            <w:tcW w:type="dxa" w:w="2880"/>
          </w:tcPr>
          <w:p>
            <w:r>
              <w:t>Administrator + responsabil flotă</w:t>
            </w:r>
          </w:p>
        </w:tc>
        <w:tc>
          <w:tcPr>
            <w:tcW w:type="dxa" w:w="2880"/>
          </w:tcPr>
          <w:p>
            <w:r>
              <w:t>Rapoarte și utilizare conformă pe 5 ani</w:t>
            </w:r>
          </w:p>
        </w:tc>
      </w:tr>
      <w:tr>
        <w:tc>
          <w:tcPr>
            <w:tcW w:type="dxa" w:w="2880"/>
          </w:tcPr>
          <w:p>
            <w:r>
              <w:t>Închidere</w:t>
            </w:r>
          </w:p>
        </w:tc>
        <w:tc>
          <w:tcPr>
            <w:tcW w:type="dxa" w:w="2880"/>
          </w:tcPr>
          <w:p>
            <w:r>
              <w:t>Administrator + financiar</w:t>
            </w:r>
          </w:p>
        </w:tc>
        <w:tc>
          <w:tcPr>
            <w:tcW w:type="dxa" w:w="2880"/>
          </w:tcPr>
          <w:p>
            <w:r>
              <w:t>Acceptare finală, închiderea durabilității și inventar arhivă</w:t>
            </w:r>
          </w:p>
        </w:tc>
      </w:tr>
    </w:tbl>
    <w:p>
      <w:r>
        <w:t>Numele persoanelor și termenele se completează în registru; atribuțiile de mai sus sunt recomandări interne. Verificarea în patru ochi înseamnă o persoană întocmește și alta verifică.</w:t>
      </w:r>
    </w:p>
    <w:p>
      <w:pPr>
        <w:pStyle w:val="Heading1"/>
      </w:pPr>
      <w:r>
        <w:t>5. Adoptarea în proiectele existente</w:t>
      </w:r>
    </w:p>
    <w:p>
      <w:r>
        <w:t>Mai întâi inventar și copie de siguranță; apoi mapare din folderul vechi în capitolul standard; comparație dimensiune/hash; verificare legături și aprobarea responsabilului de dosar. Doar după acestea se retrage copia veche în arhivă. În această lucrare nu au fost mutate, șterse sau redenumite dosarele existente.</w:t>
      </w:r>
    </w:p>
    <w:p>
      <w:r>
        <w:t>Exemplu observat: SRM DESIGN folosește deja 19 Depunere, 20 Clarificări, 30 Contractare, 40 Implementare, 50 Rambursare și 60 Durabilitate, dar 90 Arhiva. În noul standard arhiva de versiuni devine 00, iar documentele oficiale 01. Celelalte denumiri observate, precum „0.ARHIVA”, „1.DOCUMENTE OFICIALE” și „1. documente oficiale”, se mapează după conținut, fără renumerotare automată.</w:t>
      </w:r>
    </w:p>
    <w:sectPr w:rsidR="00FC693F" w:rsidRPr="0006063C" w:rsidSect="00034616">
      <w:footerReference w:type="default" r:id="rId9"/>
      <w:pgSz w:w="12240" w:h="15840"/>
      <w:pgMar w:top="936"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eDRIVE — cercetare și organizare | 01.10.2026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