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5078"/>
        </w:rPr>
        <w:t>GHANA COMPLIANCE GUIDE</w:t>
      </w:r>
    </w:p>
    <w:p>
      <w:pPr>
        <w:jc w:val="center"/>
      </w:pPr>
      <w:r>
        <w:rPr>
          <w:b/>
          <w:sz w:val="24"/>
        </w:rPr>
        <w:t>IFRS S1/S2 &amp; BoG Climate Risk Requirements</w:t>
        <w:br/>
        <w:t>Quick Reference for Financial Institutions</w:t>
      </w:r>
    </w:p>
    <w:p>
      <w:pPr>
        <w:jc w:val="center"/>
      </w:pPr>
      <w:r>
        <w:t>Effective: January 2026 (Banks) · January 2027 (SDIs &amp; NBFIs)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Financial institutions in Ghana must comply with two complementary frameworks: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What It Requires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IFRS S1 &amp; S2</w:t>
            </w:r>
          </w:p>
        </w:tc>
        <w:tc>
          <w:tcPr>
            <w:tcW w:type="dxa" w:w="4320"/>
          </w:tcPr>
          <w:p>
            <w:r>
              <w:t>Annual sustainability and climate disclosures in financial reports (global standard)</w:t>
            </w:r>
          </w:p>
        </w:tc>
      </w:tr>
      <w:tr>
        <w:tc>
          <w:tcPr>
            <w:tcW w:type="dxa" w:w="4320"/>
          </w:tcPr>
          <w:p>
            <w:r>
              <w:t>BoG CRFRD</w:t>
            </w:r>
          </w:p>
        </w:tc>
        <w:tc>
          <w:tcPr>
            <w:tcW w:type="dxa" w:w="4320"/>
          </w:tcPr>
          <w:p>
            <w:r>
              <w:t>Quarterly climate risk reports to Bank of Ghana + Board-approved climate policy</w:t>
            </w:r>
          </w:p>
        </w:tc>
      </w:tr>
    </w:tbl>
    <w:p/>
    <w:p>
      <w:r>
        <w:t>Both frameworks use the same four pillars: Governance, Strategy, Risk Management, and Metrics &amp; Targets.</w:t>
      </w:r>
    </w:p>
    <w:p>
      <w:r>
        <w:br w:type="page"/>
      </w:r>
    </w:p>
    <w:p>
      <w:pPr>
        <w:pStyle w:val="Heading1"/>
      </w:pPr>
      <w:r>
        <w:t>KEY REQUIREMENTS AT A GLANCE</w:t>
      </w:r>
    </w:p>
    <w:p>
      <w:pPr>
        <w:pStyle w:val="Heading2"/>
      </w:pPr>
      <w:r>
        <w:t>1. GOVERNANCE (Board Responsibility)</w:t>
      </w:r>
    </w:p>
    <w:p>
      <w:pPr>
        <w:pStyle w:val="ListBullet"/>
      </w:pPr>
      <w:r>
        <w:t>✓ Board must approve Climate Risk &amp; ESG Policy</w:t>
      </w:r>
    </w:p>
    <w:p>
      <w:pPr>
        <w:pStyle w:val="ListBullet"/>
      </w:pPr>
      <w:r>
        <w:t>✓ Designate senior manager as Climate/ESG Officer</w:t>
      </w:r>
    </w:p>
    <w:p>
      <w:pPr>
        <w:pStyle w:val="ListBullet"/>
      </w:pPr>
      <w:r>
        <w:t>✓ Board reviews climate risk at least quarterly</w:t>
      </w:r>
    </w:p>
    <w:p>
      <w:pPr>
        <w:pStyle w:val="ListBullet"/>
      </w:pPr>
      <w:r>
        <w:t>✓ Integrate climate risk into compensation/incentives</w:t>
      </w:r>
    </w:p>
    <w:p>
      <w:pPr>
        <w:pStyle w:val="Heading2"/>
      </w:pPr>
      <w:r>
        <w:t>2. STRATEGY (Business Impact)</w:t>
      </w:r>
    </w:p>
    <w:p>
      <w:pPr>
        <w:pStyle w:val="ListBullet"/>
      </w:pPr>
      <w:r>
        <w:t>✓ Identify physical climate risks (floods, drought, heat affecting borrowers)</w:t>
      </w:r>
    </w:p>
    <w:p>
      <w:pPr>
        <w:pStyle w:val="ListBullet"/>
      </w:pPr>
      <w:r>
        <w:t>✓ Identify transition risks (policy changes, EUDR, carbon pricing)</w:t>
      </w:r>
    </w:p>
    <w:p>
      <w:pPr>
        <w:pStyle w:val="ListBullet"/>
      </w:pPr>
      <w:r>
        <w:t>✓ Assess impact on loan portfolio and business model</w:t>
      </w:r>
    </w:p>
    <w:p>
      <w:pPr>
        <w:pStyle w:val="ListBullet"/>
      </w:pPr>
      <w:r>
        <w:t>✓ Develop climate-resilient strategy</w:t>
      </w:r>
    </w:p>
    <w:p>
      <w:pPr>
        <w:pStyle w:val="Heading2"/>
      </w:pPr>
      <w:r>
        <w:t>3. RISK MANAGEMENT (Processes)</w:t>
      </w:r>
    </w:p>
    <w:p>
      <w:pPr>
        <w:pStyle w:val="ListBullet"/>
      </w:pPr>
      <w:r>
        <w:t>✓ Screen all loans for climate risk before approval</w:t>
      </w:r>
    </w:p>
    <w:p>
      <w:pPr>
        <w:pStyle w:val="ListBullet"/>
      </w:pPr>
      <w:r>
        <w:t>✓ Integrate climate risk into credit risk framework</w:t>
      </w:r>
    </w:p>
    <w:p>
      <w:pPr>
        <w:pStyle w:val="ListBullet"/>
      </w:pPr>
      <w:r>
        <w:t>✓ Conduct climate scenario analysis (stress testing)</w:t>
      </w:r>
    </w:p>
    <w:p>
      <w:pPr>
        <w:pStyle w:val="ListBullet"/>
      </w:pPr>
      <w:r>
        <w:t>✓ Monitor exposures quarterly</w:t>
      </w:r>
    </w:p>
    <w:p>
      <w:pPr>
        <w:pStyle w:val="Heading2"/>
      </w:pPr>
      <w:r>
        <w:t>4. METRICS &amp; TARGETS (Measurement)</w:t>
      </w:r>
    </w:p>
    <w:p>
      <w:pPr>
        <w:pStyle w:val="ListBullet"/>
      </w:pPr>
      <w:r>
        <w:t>✓ Measure GHG emissions (Scope 1, 2, 3)</w:t>
      </w:r>
    </w:p>
    <w:p>
      <w:pPr>
        <w:pStyle w:val="ListBullet"/>
      </w:pPr>
      <w:r>
        <w:t>✓ Track % of portfolio in high-risk sectors (cocoa, agriculture, etc.)</w:t>
      </w:r>
    </w:p>
    <w:p>
      <w:pPr>
        <w:pStyle w:val="ListBullet"/>
      </w:pPr>
      <w:r>
        <w:t>✓ Report green loan portfolio size and growth</w:t>
      </w:r>
    </w:p>
    <w:p>
      <w:pPr>
        <w:pStyle w:val="ListBullet"/>
      </w:pPr>
      <w:r>
        <w:t>✓ Set targets for emissions reduction and green lending</w:t>
      </w:r>
    </w:p>
    <w:p>
      <w:r>
        <w:br w:type="page"/>
      </w:r>
    </w:p>
    <w:p>
      <w:pPr>
        <w:pStyle w:val="Heading1"/>
      </w:pPr>
      <w:r>
        <w:t>CRITICAL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When</w:t>
            </w:r>
          </w:p>
        </w:tc>
        <w:tc>
          <w:tcPr>
            <w:tcW w:type="dxa" w:w="4320"/>
          </w:tcPr>
          <w:p>
            <w:r>
              <w:t>What To Do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NOW - Q2 2025</w:t>
            </w:r>
          </w:p>
        </w:tc>
        <w:tc>
          <w:tcPr>
            <w:tcW w:type="dxa" w:w="4320"/>
          </w:tcPr>
          <w:p>
            <w:r>
              <w:t>Board approval of Climate Policy + Appoint Climate Officer</w:t>
            </w:r>
          </w:p>
        </w:tc>
      </w:tr>
      <w:tr>
        <w:tc>
          <w:tcPr>
            <w:tcW w:type="dxa" w:w="4320"/>
          </w:tcPr>
          <w:p>
            <w:r>
              <w:t>Q2 - Q3 2025</w:t>
            </w:r>
          </w:p>
        </w:tc>
        <w:tc>
          <w:tcPr>
            <w:tcW w:type="dxa" w:w="4320"/>
          </w:tcPr>
          <w:p>
            <w:r>
              <w:t>Conduct gap assessment + Start collecting climate/ESG data</w:t>
            </w:r>
          </w:p>
        </w:tc>
      </w:tr>
      <w:tr>
        <w:tc>
          <w:tcPr>
            <w:tcW w:type="dxa" w:w="4320"/>
          </w:tcPr>
          <w:p>
            <w:r>
              <w:t>Q3 - Q4 2025</w:t>
            </w:r>
          </w:p>
        </w:tc>
        <w:tc>
          <w:tcPr>
            <w:tcW w:type="dxa" w:w="4320"/>
          </w:tcPr>
          <w:p>
            <w:r>
              <w:t>Complete climate scenario analysis + Integrate into ERM</w:t>
            </w:r>
          </w:p>
        </w:tc>
      </w:tr>
      <w:tr>
        <w:tc>
          <w:tcPr>
            <w:tcW w:type="dxa" w:w="4320"/>
          </w:tcPr>
          <w:p>
            <w:r>
              <w:t>Q4 2025</w:t>
            </w:r>
          </w:p>
        </w:tc>
        <w:tc>
          <w:tcPr>
            <w:tcW w:type="dxa" w:w="4320"/>
          </w:tcPr>
          <w:p>
            <w:r>
              <w:t>Finalize reporting systems + Prepare disclosures</w:t>
            </w:r>
          </w:p>
        </w:tc>
      </w:tr>
      <w:tr>
        <w:tc>
          <w:tcPr>
            <w:tcW w:type="dxa" w:w="4320"/>
          </w:tcPr>
          <w:p>
            <w:r>
              <w:t>Jan 1, 2026</w:t>
            </w:r>
          </w:p>
        </w:tc>
        <w:tc>
          <w:tcPr>
            <w:tcW w:type="dxa" w:w="4320"/>
          </w:tcPr>
          <w:p>
            <w:r>
              <w:t>✓ CRFRD Effective (Banks) - Start quarterly BoG reporting</w:t>
            </w:r>
          </w:p>
        </w:tc>
      </w:tr>
      <w:tr>
        <w:tc>
          <w:tcPr>
            <w:tcW w:type="dxa" w:w="4320"/>
          </w:tcPr>
          <w:p>
            <w:r>
              <w:t>Year-end 2026</w:t>
            </w:r>
          </w:p>
        </w:tc>
        <w:tc>
          <w:tcPr>
            <w:tcW w:type="dxa" w:w="4320"/>
          </w:tcPr>
          <w:p>
            <w:r>
              <w:t>Publish first climate/ESG report section (4-6 pages)</w:t>
            </w:r>
          </w:p>
        </w:tc>
      </w:tr>
      <w:tr>
        <w:tc>
          <w:tcPr>
            <w:tcW w:type="dxa" w:w="4320"/>
          </w:tcPr>
          <w:p>
            <w:r>
              <w:t>Jan 1, 2027</w:t>
            </w:r>
          </w:p>
        </w:tc>
        <w:tc>
          <w:tcPr>
            <w:tcW w:type="dxa" w:w="4320"/>
          </w:tcPr>
          <w:p>
            <w:r>
              <w:t>✓ CRFRD Effective (SDIs/NBFIs)</w:t>
            </w:r>
          </w:p>
        </w:tc>
      </w:tr>
      <w:tr>
        <w:tc>
          <w:tcPr>
            <w:tcW w:type="dxa" w:w="4320"/>
          </w:tcPr>
          <w:p>
            <w:r>
              <w:t>2027-2028</w:t>
            </w:r>
          </w:p>
        </w:tc>
        <w:tc>
          <w:tcPr>
            <w:tcW w:type="dxa" w:w="4320"/>
          </w:tcPr>
          <w:p>
            <w:r>
              <w:t>✓ Full IFRS S1/S2 compliance deadline</w:t>
            </w:r>
          </w:p>
        </w:tc>
      </w:tr>
    </w:tbl>
    <w:p>
      <w:r>
        <w:br w:type="page"/>
      </w:r>
    </w:p>
    <w:p>
      <w:pPr>
        <w:pStyle w:val="Heading1"/>
      </w:pPr>
      <w:r>
        <w:t>FIRST 90 DAYS - ACTION CHECKLIST</w:t>
      </w:r>
    </w:p>
    <w:p>
      <w:pPr>
        <w:pStyle w:val="ListBullet"/>
      </w:pPr>
      <w:r>
        <w:rPr>
          <w:b/>
        </w:rPr>
        <w:t xml:space="preserve">Week 1-2: </w:t>
      </w:r>
      <w:r>
        <w:t>Board meeting: Approve Climate Risk &amp; ESG Policy</w:t>
      </w:r>
    </w:p>
    <w:p>
      <w:pPr>
        <w:pStyle w:val="ListBullet"/>
      </w:pPr>
      <w:r>
        <w:rPr>
          <w:b/>
        </w:rPr>
        <w:t xml:space="preserve">Week 1-2: </w:t>
      </w:r>
      <w:r>
        <w:t>Designate Climate/ESG Officer (senior manager role)</w:t>
      </w:r>
    </w:p>
    <w:p>
      <w:pPr>
        <w:pStyle w:val="ListBullet"/>
      </w:pPr>
      <w:r>
        <w:rPr>
          <w:b/>
        </w:rPr>
        <w:t xml:space="preserve">Week 3-4: </w:t>
      </w:r>
      <w:r>
        <w:t>Begin gap assessment: Compare current practices vs. requirements</w:t>
      </w:r>
    </w:p>
    <w:p>
      <w:pPr>
        <w:pStyle w:val="ListBullet"/>
      </w:pPr>
      <w:r>
        <w:rPr>
          <w:b/>
        </w:rPr>
        <w:t xml:space="preserve">Week 4-6: </w:t>
      </w:r>
      <w:r>
        <w:t>Audit existing data: Generator fuel, electricity, women borrowers, green loans</w:t>
      </w:r>
    </w:p>
    <w:p>
      <w:pPr>
        <w:pStyle w:val="ListBullet"/>
      </w:pPr>
      <w:r>
        <w:rPr>
          <w:b/>
        </w:rPr>
        <w:t xml:space="preserve">Week 6-8: </w:t>
      </w:r>
      <w:r>
        <w:t>Establish data collection templates for climate/ESG metrics</w:t>
      </w:r>
    </w:p>
    <w:p>
      <w:pPr>
        <w:pStyle w:val="ListBullet"/>
      </w:pPr>
      <w:r>
        <w:rPr>
          <w:b/>
        </w:rPr>
        <w:t xml:space="preserve">Week 8-12: </w:t>
      </w:r>
      <w:r>
        <w:t>Train staff on climate risk screening for new loans</w:t>
      </w:r>
    </w:p>
    <w:p>
      <w:r>
        <w:br w:type="page"/>
      </w:r>
    </w:p>
    <w:p>
      <w:pPr>
        <w:pStyle w:val="Heading1"/>
      </w:pPr>
      <w:r>
        <w:t>ESSENTIAL DATA TO COLLECT NOW</w:t>
      </w:r>
    </w:p>
    <w:p>
      <w:pPr>
        <w:pStyle w:val="Heading2"/>
      </w:pPr>
      <w:r>
        <w:t>Environmental Data</w:t>
      </w:r>
    </w:p>
    <w:p>
      <w:pPr>
        <w:pStyle w:val="ListBullet"/>
      </w:pPr>
      <w:r>
        <w:t>Monthly generator diesel consumption (litres)</w:t>
      </w:r>
    </w:p>
    <w:p>
      <w:pPr>
        <w:pStyle w:val="ListBullet"/>
      </w:pPr>
      <w:r>
        <w:t>Monthly electricity bills (kWh)</w:t>
      </w:r>
    </w:p>
    <w:p>
      <w:pPr>
        <w:pStyle w:val="ListBullet"/>
      </w:pPr>
      <w:r>
        <w:t>Annual solar energy generation (if any)</w:t>
      </w:r>
    </w:p>
    <w:p>
      <w:pPr>
        <w:pStyle w:val="Heading2"/>
      </w:pPr>
      <w:r>
        <w:t>Social Data</w:t>
      </w:r>
    </w:p>
    <w:p>
      <w:pPr>
        <w:pStyle w:val="ListBullet"/>
      </w:pPr>
      <w:r>
        <w:t>Number &amp; % of women borrowers</w:t>
      </w:r>
    </w:p>
    <w:p>
      <w:pPr>
        <w:pStyle w:val="ListBullet"/>
      </w:pPr>
      <w:r>
        <w:t>Number &amp; % of youth borrowers (18-35)</w:t>
      </w:r>
    </w:p>
    <w:p>
      <w:pPr>
        <w:pStyle w:val="ListBullet"/>
      </w:pPr>
      <w:r>
        <w:t>% of loans to rural/underserved communities</w:t>
      </w:r>
    </w:p>
    <w:p>
      <w:pPr>
        <w:pStyle w:val="Heading2"/>
      </w:pPr>
      <w:r>
        <w:t>Climate &amp; Finance Data</w:t>
      </w:r>
    </w:p>
    <w:p>
      <w:pPr>
        <w:pStyle w:val="ListBullet"/>
      </w:pPr>
      <w:r>
        <w:t>GHS value &amp; % of green/climate-smart loans</w:t>
      </w:r>
    </w:p>
    <w:p>
      <w:pPr>
        <w:pStyle w:val="ListBullet"/>
      </w:pPr>
      <w:r>
        <w:t>% of loans with ESG screening applied</w:t>
      </w:r>
    </w:p>
    <w:p>
      <w:pPr>
        <w:pStyle w:val="ListBullet"/>
      </w:pPr>
      <w:r>
        <w:t>NPL ratio for climate-exposed sectors (agriculture, fishing)</w:t>
      </w:r>
    </w:p>
    <w:p>
      <w:pPr>
        <w:pStyle w:val="ListBullet"/>
      </w:pPr>
      <w:r>
        <w:t>Geographic concentration in flood/drought risk areas</w:t>
      </w:r>
    </w:p>
    <w:p>
      <w:r>
        <w:br w:type="page"/>
      </w:r>
    </w:p>
    <w:p>
      <w:pPr>
        <w:pStyle w:val="Heading1"/>
      </w:pPr>
      <w:r>
        <w:t>WHAT TO DISCLOSE ANNUALLY</w:t>
      </w:r>
    </w:p>
    <w:p>
      <w:pPr>
        <w:pStyle w:val="Heading2"/>
      </w:pPr>
      <w:r>
        <w:t>In Annual Report (IFRS S1/S2)</w:t>
      </w:r>
    </w:p>
    <w:p>
      <w:pPr>
        <w:pStyle w:val="ListBullet"/>
      </w:pPr>
      <w:r>
        <w:t>Board Climate Risk Policy</w:t>
      </w:r>
    </w:p>
    <w:p>
      <w:pPr>
        <w:pStyle w:val="ListBullet"/>
      </w:pPr>
      <w:r>
        <w:t>Climate risk governance structure</w:t>
      </w:r>
    </w:p>
    <w:p>
      <w:pPr>
        <w:pStyle w:val="ListBullet"/>
      </w:pPr>
      <w:r>
        <w:t>Physical and transition risks identified</w:t>
      </w:r>
    </w:p>
    <w:p>
      <w:pPr>
        <w:pStyle w:val="ListBullet"/>
      </w:pPr>
      <w:r>
        <w:t>Climate scenario analysis results (simple 1.5°C vs 3°C comparison)</w:t>
      </w:r>
    </w:p>
    <w:p>
      <w:pPr>
        <w:pStyle w:val="ListBullet"/>
      </w:pPr>
      <w:r>
        <w:t>GHG emissions (Scope 1 &amp; 2 minimum)</w:t>
      </w:r>
    </w:p>
    <w:p>
      <w:pPr>
        <w:pStyle w:val="ListBullet"/>
      </w:pPr>
      <w:r>
        <w:t>Green loan portfolio (GHS value, %)</w:t>
      </w:r>
    </w:p>
    <w:p>
      <w:pPr>
        <w:pStyle w:val="ListBullet"/>
      </w:pPr>
      <w:r>
        <w:t>Women/youth borrower metrics</w:t>
      </w:r>
    </w:p>
    <w:p>
      <w:pPr>
        <w:pStyle w:val="Heading2"/>
      </w:pPr>
      <w:r>
        <w:t>In Quarterly Reports to BoG (CRFRD)</w:t>
      </w:r>
    </w:p>
    <w:p>
      <w:pPr>
        <w:pStyle w:val="ListBullet"/>
      </w:pPr>
      <w:r>
        <w:t>Sector concentration (% in cocoa, agriculture, SME, etc.)</w:t>
      </w:r>
    </w:p>
    <w:p>
      <w:pPr>
        <w:pStyle w:val="ListBullet"/>
      </w:pPr>
      <w:r>
        <w:t>Geographic risk exposure (flood zones, drought areas)</w:t>
      </w:r>
    </w:p>
    <w:p>
      <w:pPr>
        <w:pStyle w:val="ListBullet"/>
      </w:pPr>
      <w:r>
        <w:t>New climate-smart loans approved</w:t>
      </w:r>
    </w:p>
    <w:p>
      <w:pPr>
        <w:pStyle w:val="ListBullet"/>
      </w:pPr>
      <w:r>
        <w:t>Climate risk metrics trends</w:t>
      </w:r>
    </w:p>
    <w:p>
      <w:r>
        <w:br w:type="page"/>
      </w:r>
    </w:p>
    <w:p>
      <w:pPr>
        <w:pStyle w:val="Heading1"/>
      </w:pPr>
      <w:r>
        <w:t>CLIMATE RISKS AFFECTING GHANA BANKS</w:t>
      </w:r>
    </w:p>
    <w:p>
      <w:pPr>
        <w:pStyle w:val="Heading2"/>
      </w:pPr>
      <w:r>
        <w:t>Physical Risks (Direct)</w:t>
      </w:r>
    </w:p>
    <w:p>
      <w:pPr>
        <w:pStyle w:val="ListBullet"/>
      </w:pPr>
      <w:r>
        <w:t>Flooding: Affects collateral (property, agricultural land)</w:t>
      </w:r>
    </w:p>
    <w:p>
      <w:pPr>
        <w:pStyle w:val="ListBullet"/>
      </w:pPr>
      <w:r>
        <w:t>Drought: Reduces agricultural yields → borrower defaults</w:t>
      </w:r>
    </w:p>
    <w:p>
      <w:pPr>
        <w:pStyle w:val="ListBullet"/>
      </w:pPr>
      <w:r>
        <w:t>Extreme heat: Damages crops and infrastructure</w:t>
      </w:r>
    </w:p>
    <w:p>
      <w:pPr>
        <w:pStyle w:val="Heading2"/>
      </w:pPr>
      <w:r>
        <w:t>Transition Risks (Policy/Market)</w:t>
      </w:r>
    </w:p>
    <w:p>
      <w:pPr>
        <w:pStyle w:val="ListBullet"/>
      </w:pPr>
      <w:r>
        <w:t>EUDR: EU rules requiring sustainable cocoa/timber exports</w:t>
      </w:r>
    </w:p>
    <w:p>
      <w:pPr>
        <w:pStyle w:val="ListBullet"/>
      </w:pPr>
      <w:r>
        <w:t>Carbon pricing: Increased costs for high-emission businesses</w:t>
      </w:r>
    </w:p>
    <w:p>
      <w:pPr>
        <w:pStyle w:val="ListBullet"/>
      </w:pPr>
      <w:r>
        <w:t>Green financing: Shift to renewable energy investments</w:t>
      </w:r>
    </w:p>
    <w:p>
      <w:r>
        <w:br w:type="page"/>
      </w:r>
    </w:p>
    <w:p>
      <w:pPr>
        <w:pStyle w:val="Heading1"/>
      </w:pPr>
      <w:r>
        <w:t>WHO DOES WHAT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Board</w:t>
            </w:r>
          </w:p>
        </w:tc>
        <w:tc>
          <w:tcPr>
            <w:tcW w:type="dxa" w:w="4320"/>
          </w:tcPr>
          <w:p>
            <w:r>
              <w:t>Approve climate policy; Oversee strategy; Ensure adequate resources; Link compensation to ESG performance</w:t>
            </w:r>
          </w:p>
        </w:tc>
      </w:tr>
      <w:tr>
        <w:tc>
          <w:tcPr>
            <w:tcW w:type="dxa" w:w="4320"/>
          </w:tcPr>
          <w:p>
            <w:r>
              <w:t>CEO</w:t>
            </w:r>
          </w:p>
        </w:tc>
        <w:tc>
          <w:tcPr>
            <w:tcW w:type="dxa" w:w="4320"/>
          </w:tcPr>
          <w:p>
            <w:r>
              <w:t>Overall accountability; Allocate resources; Report to Board quarterly</w:t>
            </w:r>
          </w:p>
        </w:tc>
      </w:tr>
      <w:tr>
        <w:tc>
          <w:tcPr>
            <w:tcW w:type="dxa" w:w="4320"/>
          </w:tcPr>
          <w:p>
            <w:r>
              <w:t>Climate/ESG Officer</w:t>
            </w:r>
          </w:p>
        </w:tc>
        <w:tc>
          <w:tcPr>
            <w:tcW w:type="dxa" w:w="4320"/>
          </w:tcPr>
          <w:p>
            <w:r>
              <w:t>Day-to-day climate risk management; Data collection; Reporting to Board</w:t>
            </w:r>
          </w:p>
        </w:tc>
      </w:tr>
      <w:tr>
        <w:tc>
          <w:tcPr>
            <w:tcW w:type="dxa" w:w="4320"/>
          </w:tcPr>
          <w:p>
            <w:r>
              <w:t>Credit Officers</w:t>
            </w:r>
          </w:p>
        </w:tc>
        <w:tc>
          <w:tcPr>
            <w:tcW w:type="dxa" w:w="4320"/>
          </w:tcPr>
          <w:p>
            <w:r>
              <w:t>Screen loans for climate risk; Adjust terms based on exposure; Monitor borrower climate transition</w:t>
            </w:r>
          </w:p>
        </w:tc>
      </w:tr>
    </w:tbl>
    <w:p>
      <w:r>
        <w:br w:type="page"/>
      </w:r>
    </w:p>
    <w:p>
      <w:pPr>
        <w:pStyle w:val="Heading1"/>
      </w:pPr>
      <w:r>
        <w:t>KEY MESSAGES</w:t>
      </w:r>
    </w:p>
    <w:p>
      <w:pPr>
        <w:pStyle w:val="ListBullet"/>
      </w:pPr>
      <w:r>
        <w:t>Climate risk is a credit risk. Banks with heavy agricultural exposure face significant climate risk and must manage it proactively.</w:t>
      </w:r>
    </w:p>
    <w:p>
      <w:pPr>
        <w:pStyle w:val="ListBullet"/>
      </w:pPr>
      <w:r>
        <w:t>You don't need perfection—start simple. Collect basic data (generator fuel, electricity, green loans), conduct simple climate scenario analysis, and improve over time.</w:t>
      </w:r>
    </w:p>
    <w:p>
      <w:pPr>
        <w:pStyle w:val="ListBullet"/>
      </w:pPr>
      <w:r>
        <w:t>Integration saves time. Use ONE climate/ESG officer and ONE policy covering both IFRS S1/S2 and BoG CRFRD requirements.</w:t>
      </w:r>
    </w:p>
    <w:p>
      <w:pPr>
        <w:pStyle w:val="ListBullet"/>
      </w:pPr>
      <w:r>
        <w:t>Board ownership is critical. CRFRD and IFRS S1/S2 require Board-level oversight—not something to delegate to operations.</w:t>
      </w:r>
    </w:p>
    <w:p>
      <w:pPr>
        <w:pStyle w:val="ListBullet"/>
      </w:pPr>
      <w:r>
        <w:t>January 1, 2026 deadline is firm. Begin NOW to avoid last-minute scramble and potential supervisory action.</w:t>
      </w:r>
    </w:p>
    <w:p>
      <w:r>
        <w:br w:type="page"/>
      </w:r>
    </w:p>
    <w:p>
      <w:pPr>
        <w:pStyle w:val="Heading1"/>
      </w:pPr>
      <w:r>
        <w:t>WHAT HAPPENS IF YOU DON'T COMPLY</w:t>
      </w:r>
    </w:p>
    <w:p>
      <w:pPr>
        <w:pStyle w:val="ListBullet"/>
      </w:pPr>
      <w:r>
        <w:t>Written directive from BoG to remediate non-compliance</w:t>
      </w:r>
    </w:p>
    <w:p>
      <w:pPr>
        <w:pStyle w:val="ListBullet"/>
      </w:pPr>
      <w:r>
        <w:t>Higher minimum capital requirements due to unmanaged climate risk</w:t>
      </w:r>
    </w:p>
    <w:p>
      <w:pPr>
        <w:pStyle w:val="ListBullet"/>
      </w:pPr>
      <w:r>
        <w:t>Increased supervisory examination frequency</w:t>
      </w:r>
    </w:p>
    <w:p>
      <w:pPr>
        <w:pStyle w:val="ListBullet"/>
      </w:pPr>
      <w:r>
        <w:t>Restrictions on dividend payments</w:t>
      </w:r>
    </w:p>
    <w:p>
      <w:pPr>
        <w:pStyle w:val="ListBullet"/>
      </w:pPr>
      <w:r>
        <w:t>Monetary fines (up to maximum allowed under BoG Act)</w:t>
      </w:r>
    </w:p>
    <w:p>
      <w:pPr>
        <w:pStyle w:val="ListBullet"/>
      </w:pPr>
      <w:r>
        <w:t>Restrictions on new lending or business expansion</w:t>
      </w:r>
    </w:p>
    <w:p>
      <w:r>
        <w:br w:type="page"/>
      </w:r>
    </w:p>
    <w:p>
      <w:pPr>
        <w:pStyle w:val="Heading1"/>
      </w:pPr>
      <w:r>
        <w:t>NEXT STEPS</w:t>
      </w:r>
    </w:p>
    <w:p>
      <w:pPr>
        <w:pStyle w:val="Heading2"/>
      </w:pPr>
      <w:r>
        <w:t>This Week:</w:t>
      </w:r>
    </w:p>
    <w:p>
      <w:pPr>
        <w:pStyle w:val="ListNumber"/>
      </w:pPr>
      <w:r>
        <w:t>1. Schedule Board meeting to approve climate policy</w:t>
      </w:r>
    </w:p>
    <w:p>
      <w:pPr>
        <w:pStyle w:val="ListNumber"/>
      </w:pPr>
      <w:r>
        <w:t>2. Identify and designate climate/ESG officer</w:t>
      </w:r>
    </w:p>
    <w:p>
      <w:pPr>
        <w:pStyle w:val="Heading2"/>
      </w:pPr>
      <w:r>
        <w:t>This Month:</w:t>
      </w:r>
    </w:p>
    <w:p>
      <w:pPr>
        <w:pStyle w:val="ListNumber"/>
      </w:pPr>
      <w:r>
        <w:t>3. Brief management team on requirements</w:t>
      </w:r>
    </w:p>
    <w:p>
      <w:pPr>
        <w:pStyle w:val="ListNumber"/>
      </w:pPr>
      <w:r>
        <w:t>4. Begin data audit: What climate/ESG data do we have?</w:t>
      </w:r>
    </w:p>
    <w:p>
      <w:pPr>
        <w:pStyle w:val="Heading2"/>
      </w:pPr>
      <w:r>
        <w:t>Next 3 Months:</w:t>
      </w:r>
    </w:p>
    <w:p>
      <w:pPr>
        <w:pStyle w:val="ListNumber"/>
      </w:pPr>
      <w:r>
        <w:t>5. Conduct gap assessment vs. CRFRD/IFRS requirements</w:t>
      </w:r>
    </w:p>
    <w:p>
      <w:pPr>
        <w:pStyle w:val="ListNumber"/>
      </w:pPr>
      <w:r>
        <w:t>6. Build climate/ESG data collection system</w:t>
      </w:r>
    </w:p>
    <w:p>
      <w:pPr>
        <w:pStyle w:val="ListNumber"/>
      </w:pPr>
      <w:r>
        <w:t>7. Integrate climate risk into credit policy</w:t>
      </w:r>
    </w:p>
    <w:p>
      <w:pPr>
        <w:pStyle w:val="Heading2"/>
      </w:pPr>
      <w:r>
        <w:t>By Q4 2025:</w:t>
      </w:r>
    </w:p>
    <w:p>
      <w:pPr>
        <w:pStyle w:val="ListNumber"/>
      </w:pPr>
      <w:r>
        <w:t>8. Conduct first climate scenario analysis</w:t>
      </w:r>
    </w:p>
    <w:p>
      <w:pPr>
        <w:pStyle w:val="ListNumber"/>
      </w:pPr>
      <w:r>
        <w:t>9. Finalize reporting systems</w:t>
      </w:r>
    </w:p>
    <w:p>
      <w:pPr>
        <w:pStyle w:val="ListNumber"/>
      </w:pPr>
      <w:r>
        <w:t>10. Prepare for January 1, 2026 CRFRD effective date</w:t>
      </w:r>
    </w:p>
    <w:p>
      <w:r>
        <w:br w:type="page"/>
      </w:r>
    </w:p>
    <w:p>
      <w:pPr>
        <w:pStyle w:val="Heading1"/>
      </w:pPr>
      <w:r>
        <w:t>QUICK REFERENCE: KEY DATES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Milestone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January 1, 2026</w:t>
            </w:r>
          </w:p>
        </w:tc>
        <w:tc>
          <w:tcPr>
            <w:tcW w:type="dxa" w:w="4320"/>
          </w:tcPr>
          <w:p>
            <w:r>
              <w:t>CRFRD Effective (Banks) - Begin quarterly BoG reporting</w:t>
            </w:r>
          </w:p>
        </w:tc>
      </w:tr>
      <w:tr>
        <w:tc>
          <w:tcPr>
            <w:tcW w:type="dxa" w:w="4320"/>
          </w:tcPr>
          <w:p>
            <w:r>
              <w:t>Year-end 2026</w:t>
            </w:r>
          </w:p>
        </w:tc>
        <w:tc>
          <w:tcPr>
            <w:tcW w:type="dxa" w:w="4320"/>
          </w:tcPr>
          <w:p>
            <w:r>
              <w:t>Publish first climate/ESG report (4-6 pages in annual report)</w:t>
            </w:r>
          </w:p>
        </w:tc>
      </w:tr>
      <w:tr>
        <w:tc>
          <w:tcPr>
            <w:tcW w:type="dxa" w:w="4320"/>
          </w:tcPr>
          <w:p>
            <w:r>
              <w:t>January 1, 2027</w:t>
            </w:r>
          </w:p>
        </w:tc>
        <w:tc>
          <w:tcPr>
            <w:tcW w:type="dxa" w:w="4320"/>
          </w:tcPr>
          <w:p>
            <w:r>
              <w:t>CRFRD Effective (SDIs/NBFIs)</w:t>
            </w:r>
          </w:p>
        </w:tc>
      </w:tr>
      <w:tr>
        <w:tc>
          <w:tcPr>
            <w:tcW w:type="dxa" w:w="4320"/>
          </w:tcPr>
          <w:p>
            <w:r>
              <w:t>2027-2028</w:t>
            </w:r>
          </w:p>
        </w:tc>
        <w:tc>
          <w:tcPr>
            <w:tcW w:type="dxa" w:w="4320"/>
          </w:tcPr>
          <w:p>
            <w:r>
              <w:t>Full IFRS S1/S2 compliance deadline</w:t>
            </w:r>
          </w:p>
        </w:tc>
      </w:tr>
    </w:tbl>
    <w:p/>
    <w:p>
      <w:r>
        <w:t>_______________</w:t>
      </w:r>
    </w:p>
    <w:p>
      <w:r>
        <w:t>For more detailed guidance, see the comprehensive Ghana Sustainability &amp; Climate Risk Compliance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