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633"/>
        </w:rPr>
        <w:t>IFRS S1 &amp; S2: SUSTAINABILITY DISCLOSURE STANDARDS</w:t>
      </w:r>
    </w:p>
    <w:p>
      <w:pPr>
        <w:jc w:val="center"/>
      </w:pPr>
      <w:r>
        <w:rPr>
          <w:b/>
          <w:sz w:val="28"/>
        </w:rPr>
        <w:t>A Comprehensive Guide for Community Banks in Ghana</w:t>
      </w:r>
    </w:p>
    <w:p>
      <w:pPr>
        <w:jc w:val="center"/>
      </w:pPr>
      <w:r>
        <w:t>Prepared by: ARB Apex Bank ESG/Sustainability Training Series</w:t>
        <w:br/>
        <w:t>Date: May 2026</w:t>
        <w:br/>
        <w:t>Target Audience: Community Banks in Ghana</w:t>
      </w:r>
    </w:p>
    <w:p/>
    <w:p>
      <w:pPr>
        <w:pStyle w:val="Heading1"/>
      </w:pPr>
      <w:r>
        <w:t>EXECUTIVE SUMMARY</w:t>
      </w:r>
    </w:p>
    <w:p>
      <w:r>
        <w:t>This comprehensive report provides community banks in Ghana with a practical guide to understanding and implementing the International Financial Reporting Standards (IFRS) S1 and S2 Sustainability Disclosure Standards. These standards represent a fundamental shift from voluntary to mandatory sustainability reporting, establishing a global baseline for disclosing sustainability-related financial risks and opportunities.</w:t>
      </w:r>
    </w:p>
    <w:p>
      <w:r>
        <w:t>Community banks play a critical role in Ghana's financial landscape, serving rural farming communities, small and medium enterprises (SMEs), and underserved populations. This unique position exposes community banks to significant climate and sustainability risks while simultaneously providing them with opportunities to drive positive environmental and social impact.</w:t>
      </w:r>
    </w:p>
    <w:p>
      <w:r>
        <w:t>This report synthesizes key training materials and practical guidance to help community banks prepare for compliance with IFRS S1 &amp; S2 by the effective date (2027-2028 for Ghana, with BoG Directive taking effect January 2026 for banks).</w:t>
      </w:r>
    </w:p>
    <w:p>
      <w:r>
        <w:br w:type="page"/>
      </w:r>
    </w:p>
    <w:p>
      <w:pPr>
        <w:pStyle w:val="Heading1"/>
      </w:pPr>
      <w:r>
        <w:t>TABLE OF CONTENTS</w:t>
      </w:r>
    </w:p>
    <w:p>
      <w:pPr>
        <w:pStyle w:val="ListNumber"/>
      </w:pPr>
      <w:r>
        <w:t>1. Introduction to ESG and Sustainability Reporting</w:t>
      </w:r>
    </w:p>
    <w:p>
      <w:pPr>
        <w:pStyle w:val="ListNumber"/>
      </w:pPr>
      <w:r>
        <w:t>2. The Sustainability Reporting Revolution: From Voluntary to Mandatory</w:t>
      </w:r>
    </w:p>
    <w:p>
      <w:pPr>
        <w:pStyle w:val="ListNumber"/>
      </w:pPr>
      <w:r>
        <w:t>3. IFRS S1: General Sustainability-Related Financial Disclosures</w:t>
      </w:r>
    </w:p>
    <w:p>
      <w:pPr>
        <w:pStyle w:val="ListNumber"/>
      </w:pPr>
      <w:r>
        <w:t>4. IFRS S2: Climate-Related Disclosures</w:t>
      </w:r>
    </w:p>
    <w:p>
      <w:pPr>
        <w:pStyle w:val="ListNumber"/>
      </w:pPr>
      <w:r>
        <w:t>5. Understanding GHG Emissions: Scope 1, 2 &amp; 3</w:t>
      </w:r>
    </w:p>
    <w:p>
      <w:pPr>
        <w:pStyle w:val="ListNumber"/>
      </w:pPr>
      <w:r>
        <w:t>6. Building Your Sustainability Report</w:t>
      </w:r>
    </w:p>
    <w:p>
      <w:pPr>
        <w:pStyle w:val="ListNumber"/>
      </w:pPr>
      <w:r>
        <w:t>7. Ghana Context: BoG Climate Risk Directive Alignment</w:t>
      </w:r>
    </w:p>
    <w:p>
      <w:pPr>
        <w:pStyle w:val="ListNumber"/>
      </w:pPr>
      <w:r>
        <w:t>8. Implementation Roadmap for Community Banks</w:t>
      </w:r>
    </w:p>
    <w:p>
      <w:pPr>
        <w:pStyle w:val="ListNumber"/>
      </w:pPr>
      <w:r>
        <w:t>9. Key Data Collection Requirements</w:t>
      </w:r>
    </w:p>
    <w:p>
      <w:pPr>
        <w:pStyle w:val="ListNumber"/>
      </w:pPr>
      <w:r>
        <w:t>10. Compliance Timeline and Action Plan</w:t>
      </w:r>
    </w:p>
    <w:p>
      <w:r>
        <w:br w:type="page"/>
      </w:r>
    </w:p>
    <w:p>
      <w:pPr>
        <w:pStyle w:val="Heading1"/>
      </w:pPr>
      <w:r>
        <w:t>1. INTRODUCTION TO ESG AND SUSTAINABILITY REPORTING</w:t>
      </w:r>
    </w:p>
    <w:p>
      <w:pPr>
        <w:pStyle w:val="Heading2"/>
      </w:pPr>
      <w:r>
        <w:t>What is ESG?</w:t>
      </w:r>
    </w:p>
    <w:p>
      <w:r>
        <w:t>ESG stands for Environmental, Social, and Governance — a framework for measuring corporate responsibility and sustainable business practices.</w:t>
      </w:r>
    </w:p>
    <w:tbl>
      <w:tblPr>
        <w:tblStyle w:val="LightGrid-Accent1"/>
        <w:tblW w:type="auto" w:w="0"/>
        <w:tblLook w:firstColumn="1" w:firstRow="1" w:lastColumn="0" w:lastRow="0" w:noHBand="0" w:noVBand="1" w:val="04A0"/>
      </w:tblPr>
      <w:tblGrid>
        <w:gridCol w:w="4320"/>
        <w:gridCol w:w="4320"/>
      </w:tblGrid>
      <w:tr>
        <w:tc>
          <w:tcPr>
            <w:tcW w:type="dxa" w:w="4320"/>
          </w:tcPr>
          <w:p>
            <w:r>
              <w:t>Pillar</w:t>
            </w:r>
          </w:p>
        </w:tc>
        <w:tc>
          <w:tcPr>
            <w:tcW w:type="dxa" w:w="4320"/>
          </w:tcPr>
          <w:p>
            <w:r>
              <w:t>Definition &amp; Key Areas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Environmental (E)</w:t>
            </w:r>
          </w:p>
        </w:tc>
        <w:tc>
          <w:tcPr>
            <w:tcW w:type="dxa" w:w="4320"/>
          </w:tcPr>
          <w:p>
            <w:r>
              <w:t>Climate change &amp; emissions, natural resource conservation, waste &amp; pollution management, biodiversity, energy efficiency</w:t>
            </w:r>
          </w:p>
        </w:tc>
      </w:tr>
      <w:tr>
        <w:tc>
          <w:tcPr>
            <w:tcW w:type="dxa" w:w="4320"/>
          </w:tcPr>
          <w:p>
            <w:r>
              <w:t>Social (S)</w:t>
            </w:r>
          </w:p>
        </w:tc>
        <w:tc>
          <w:tcPr>
            <w:tcW w:type="dxa" w:w="4320"/>
          </w:tcPr>
          <w:p>
            <w:r>
              <w:t>Labour rights &amp; fair wages, community development, customer data protection, financial inclusion, diversity &amp; inclusion</w:t>
            </w:r>
          </w:p>
        </w:tc>
      </w:tr>
      <w:tr>
        <w:tc>
          <w:tcPr>
            <w:tcW w:type="dxa" w:w="4320"/>
          </w:tcPr>
          <w:p>
            <w:r>
              <w:t>Governance (G)</w:t>
            </w:r>
          </w:p>
        </w:tc>
        <w:tc>
          <w:tcPr>
            <w:tcW w:type="dxa" w:w="4320"/>
          </w:tcPr>
          <w:p>
            <w:r>
              <w:t>Board structure &amp; accountability, executive compensation, anti-corruption measures, shareholder rights, transparent reporting</w:t>
            </w:r>
          </w:p>
        </w:tc>
      </w:tr>
    </w:tbl>
    <w:p>
      <w:pPr>
        <w:pStyle w:val="Heading2"/>
      </w:pPr>
      <w:r>
        <w:t>Why ESG Matters Now</w:t>
      </w:r>
    </w:p>
    <w:p>
      <w:r>
        <w:t>Global ESG assets under management have reached $35 trillion+, with 90% of S&amp;P 500 companies publishing ESG reports. Key drivers include:</w:t>
      </w:r>
    </w:p>
    <w:p>
      <w:pPr>
        <w:pStyle w:val="ListBullet"/>
      </w:pPr>
      <w:r>
        <w:t>Regulatory pressure from central banks and governments</w:t>
      </w:r>
    </w:p>
    <w:p>
      <w:pPr>
        <w:pStyle w:val="ListBullet"/>
      </w:pPr>
      <w:r>
        <w:t>Investor demand for sustainable portfolios</w:t>
      </w:r>
    </w:p>
    <w:p>
      <w:pPr>
        <w:pStyle w:val="ListBullet"/>
      </w:pPr>
      <w:r>
        <w:t>Consumer and community expectations rising</w:t>
      </w:r>
    </w:p>
    <w:p>
      <w:pPr>
        <w:pStyle w:val="ListBullet"/>
      </w:pPr>
      <w:r>
        <w:t>Growing financial risks from climate change</w:t>
      </w:r>
    </w:p>
    <w:p>
      <w:pPr>
        <w:pStyle w:val="ListBullet"/>
      </w:pPr>
      <w:r>
        <w:t>Long-term value creation and business resilience</w:t>
      </w:r>
    </w:p>
    <w:p>
      <w:pPr>
        <w:pStyle w:val="Heading2"/>
      </w:pPr>
      <w:r>
        <w:t>ESG in Community Banking</w:t>
      </w:r>
    </w:p>
    <w:p>
      <w:r>
        <w:t>Community banks are uniquely positioned to drive sustainability impact.</w:t>
      </w:r>
    </w:p>
    <w:p>
      <w:pPr>
        <w:pStyle w:val="ListBullet"/>
      </w:pPr>
      <w:r>
        <w:t>Opportunities:</w:t>
      </w:r>
    </w:p>
    <w:p>
      <w:pPr>
        <w:pStyle w:val="ListBullet2"/>
      </w:pPr>
      <w:r>
        <w:t>Serve rural farming and SME communities most affected by climate change</w:t>
      </w:r>
    </w:p>
    <w:p>
      <w:pPr>
        <w:pStyle w:val="ListBullet2"/>
      </w:pPr>
      <w:r>
        <w:t>Drive financial inclusion as a key ESG social outcome</w:t>
      </w:r>
    </w:p>
    <w:p>
      <w:pPr>
        <w:pStyle w:val="ListBullet2"/>
      </w:pPr>
      <w:r>
        <w:t>Enable direct community impact measurement</w:t>
      </w:r>
    </w:p>
    <w:p>
      <w:pPr>
        <w:pStyle w:val="ListBullet2"/>
      </w:pPr>
      <w:r>
        <w:t>Finance green agriculture and renewable energy</w:t>
      </w:r>
    </w:p>
    <w:p>
      <w:pPr>
        <w:pStyle w:val="ListBullet2"/>
      </w:pPr>
      <w:r>
        <w:t>Leverage trusted community relationships</w:t>
      </w:r>
    </w:p>
    <w:p>
      <w:pPr>
        <w:pStyle w:val="ListBullet"/>
      </w:pPr>
      <w:r>
        <w:t>Risks Community Banks Face:</w:t>
      </w:r>
    </w:p>
    <w:p>
      <w:pPr>
        <w:pStyle w:val="ListBullet2"/>
      </w:pPr>
      <w:r>
        <w:t>Loan defaults from climate-impacted farmers and businesses</w:t>
      </w:r>
    </w:p>
    <w:p>
      <w:pPr>
        <w:pStyle w:val="ListBullet2"/>
      </w:pPr>
      <w:r>
        <w:t>Reputational risk from non-compliant borrowers</w:t>
      </w:r>
    </w:p>
    <w:p>
      <w:pPr>
        <w:pStyle w:val="ListBullet2"/>
      </w:pPr>
      <w:r>
        <w:t>Regulatory penalties for poor governance practices</w:t>
      </w:r>
    </w:p>
    <w:p>
      <w:pPr>
        <w:pStyle w:val="ListBullet2"/>
      </w:pPr>
      <w:r>
        <w:t>Loss of correspondent banking from weak ESG ratings</w:t>
      </w:r>
    </w:p>
    <w:p>
      <w:pPr>
        <w:pStyle w:val="ListBullet2"/>
      </w:pPr>
      <w:r>
        <w:t>Social unrest from community-harming operations</w:t>
      </w:r>
    </w:p>
    <w:p>
      <w:r>
        <w:br w:type="page"/>
      </w:r>
    </w:p>
    <w:p>
      <w:pPr>
        <w:pStyle w:val="Heading1"/>
      </w:pPr>
      <w:r>
        <w:t>2. THE SUSTAINABILITY REPORTING REVOLUTION</w:t>
      </w:r>
    </w:p>
    <w:p>
      <w:pPr>
        <w:pStyle w:val="Heading2"/>
      </w:pPr>
      <w:r>
        <w:t>The ISSB and the Birth of Unified Global Standards</w:t>
      </w:r>
    </w:p>
    <w:p>
      <w:r>
        <w:t>The International Sustainability Standards Board (ISSB) was created at COP26 in Glasgow in November 2021 to address a fragmented landscape of 600+ competing sustainability reporting frameworks. The ISSB consolidated these into two unified, globally applicable standards: IFRS S1 and IFRS S2.</w:t>
      </w:r>
    </w:p>
    <w:p>
      <w:r>
        <w:t>Published in June 2023, these standards are effective for reporting periods beginning on or after 1 January 2024, with phased adoption in Ghana from 2027-2028.</w:t>
      </w:r>
    </w:p>
    <w:p>
      <w:pPr>
        <w:pStyle w:val="Heading2"/>
      </w:pPr>
      <w:r>
        <w:t>From Voluntary to Mandatory</w:t>
      </w:r>
    </w:p>
    <w:p>
      <w:r>
        <w:t>Prior to IFRS S1 &amp; S2, sustainability reporting was largely voluntary, with different companies using different frameworks (GRI, CDP, TCFD, SASB, IIRC, CDSB). This fragmentation made it difficult for investors, regulators, and stakeholders to compare sustainability performance.</w:t>
      </w:r>
    </w:p>
    <w:p>
      <w:r>
        <w:t>IFRS S1 &amp; S2 establish the first globally consistent baseline for sustainability financial disclosures, addressing the critical information gap that investors and regulators need to assess financial risks and opportunities.</w:t>
      </w:r>
    </w:p>
    <w:p>
      <w:r>
        <w:br w:type="page"/>
      </w:r>
    </w:p>
    <w:p>
      <w:pPr>
        <w:pStyle w:val="Heading1"/>
      </w:pPr>
      <w:r>
        <w:t>3. IFRS S1: GENERAL SUSTAINABILITY-RELATED FINANCIAL DISCLOSURES</w:t>
      </w:r>
    </w:p>
    <w:p>
      <w:pPr>
        <w:pStyle w:val="Heading2"/>
      </w:pPr>
      <w:r>
        <w:t>What is IFRS S1?</w:t>
      </w:r>
    </w:p>
    <w:p>
      <w:r>
        <w:t>IFRS S1 requires entities to disclose information about sustainability-related risks and opportunities that could reasonably be expected to affect the entity's cash flows, access to finance, or cost of capital in the short, medium, or long term.</w:t>
      </w:r>
    </w:p>
    <w:p>
      <w:pPr>
        <w:pStyle w:val="Heading2"/>
      </w:pPr>
      <w:r>
        <w:t>The Four Disclosure Pillars of IFRS S1</w:t>
      </w:r>
    </w:p>
    <w:tbl>
      <w:tblPr>
        <w:tblStyle w:val="LightGrid-Accent1"/>
        <w:tblW w:type="auto" w:w="0"/>
        <w:tblLook w:firstColumn="1" w:firstRow="1" w:lastColumn="0" w:lastRow="0" w:noHBand="0" w:noVBand="1" w:val="04A0"/>
      </w:tblPr>
      <w:tblGrid>
        <w:gridCol w:w="4320"/>
        <w:gridCol w:w="4320"/>
      </w:tblGrid>
      <w:tr>
        <w:tc>
          <w:tcPr>
            <w:tcW w:type="dxa" w:w="4320"/>
          </w:tcPr>
          <w:p>
            <w:r>
              <w:t>Pillar</w:t>
            </w:r>
          </w:p>
        </w:tc>
        <w:tc>
          <w:tcPr>
            <w:tcW w:type="dxa" w:w="4320"/>
          </w:tcPr>
          <w:p>
            <w:r>
              <w:t>Key Requirements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Governance</w:t>
            </w:r>
          </w:p>
        </w:tc>
        <w:tc>
          <w:tcPr>
            <w:tcW w:type="dxa" w:w="4320"/>
          </w:tcPr>
          <w:p>
            <w:r>
              <w:t>Board and management oversight of sustainability risks; integration into governance structure; responsibility allocation; competency and training</w:t>
            </w:r>
          </w:p>
        </w:tc>
      </w:tr>
      <w:tr>
        <w:tc>
          <w:tcPr>
            <w:tcW w:type="dxa" w:w="4320"/>
          </w:tcPr>
          <w:p>
            <w:r>
              <w:t>Strategy</w:t>
            </w:r>
          </w:p>
        </w:tc>
        <w:tc>
          <w:tcPr>
            <w:tcW w:type="dxa" w:w="4320"/>
          </w:tcPr>
          <w:p>
            <w:r>
              <w:t>Material sustainability risks and opportunities; effects on business model; response plans; medium/long-term strategy linkage; financial statement impacts</w:t>
            </w:r>
          </w:p>
        </w:tc>
      </w:tr>
      <w:tr>
        <w:tc>
          <w:tcPr>
            <w:tcW w:type="dxa" w:w="4320"/>
          </w:tcPr>
          <w:p>
            <w:r>
              <w:t>Risk Management</w:t>
            </w:r>
          </w:p>
        </w:tc>
        <w:tc>
          <w:tcPr>
            <w:tcW w:type="dxa" w:w="4320"/>
          </w:tcPr>
          <w:p>
            <w:r>
              <w:t>Risk identification and assessment processes; integration with enterprise risk management; prioritization criteria; monitoring and review processes</w:t>
            </w:r>
          </w:p>
        </w:tc>
      </w:tr>
      <w:tr>
        <w:tc>
          <w:tcPr>
            <w:tcW w:type="dxa" w:w="4320"/>
          </w:tcPr>
          <w:p>
            <w:r>
              <w:t>Metrics &amp; Targets</w:t>
            </w:r>
          </w:p>
        </w:tc>
        <w:tc>
          <w:tcPr>
            <w:tcW w:type="dxa" w:w="4320"/>
          </w:tcPr>
          <w:p>
            <w:r>
              <w:t>Metrics for monitoring risks and opportunities; progress against targets; cross-industry metrics; industry-based metrics</w:t>
            </w:r>
          </w:p>
        </w:tc>
      </w:tr>
    </w:tbl>
    <w:p>
      <w:pPr>
        <w:pStyle w:val="Heading2"/>
      </w:pPr>
      <w:r>
        <w:t>Understanding Materiality under IFRS S1</w:t>
      </w:r>
    </w:p>
    <w:p>
      <w:r>
        <w:t>A critical concept in IFRS S1 is "materiality" — you only disclose what is material. Sustainability-related financial information is material if omitting, misstating, or obscuring it could reasonably be expected to influence decisions of primary users (investors, lenders, creditors).</w:t>
      </w:r>
    </w:p>
    <w:p>
      <w:pPr>
        <w:pStyle w:val="Heading2"/>
      </w:pPr>
      <w:r>
        <w:t>For Community Banks in Ghana — Material Issues Include:</w:t>
      </w:r>
    </w:p>
    <w:p>
      <w:pPr>
        <w:pStyle w:val="ListBullet"/>
      </w:pPr>
      <w:r>
        <w:t>Climate Physical Risk: Flooding, drought, extreme heat affecting agri-borrower repayment capacity, branch operations, and collateral values</w:t>
      </w:r>
    </w:p>
    <w:p>
      <w:pPr>
        <w:pStyle w:val="ListBullet"/>
      </w:pPr>
      <w:r>
        <w:t>Regulatory Transition Risk: BoG climate directives and IFRS S1/S2 compliance costs</w:t>
      </w:r>
    </w:p>
    <w:p>
      <w:pPr>
        <w:pStyle w:val="ListBullet"/>
      </w:pPr>
      <w:r>
        <w:t>Financial Inclusion: Impact on underserved rural communities — women, youth, smallholder farmers</w:t>
      </w:r>
    </w:p>
    <w:p>
      <w:pPr>
        <w:pStyle w:val="ListBullet"/>
      </w:pPr>
      <w:r>
        <w:t>Environmental Footprint: Energy use, generator emissions, paper consumption</w:t>
      </w:r>
    </w:p>
    <w:p>
      <w:pPr>
        <w:pStyle w:val="ListBullet"/>
      </w:pPr>
      <w:r>
        <w:t>Access to DFI Funding: ESG performance conditioning access to development finance</w:t>
      </w:r>
    </w:p>
    <w:p>
      <w:pPr>
        <w:pStyle w:val="ListBullet"/>
      </w:pPr>
      <w:r>
        <w:t>Reputation Risk: Community perception of the bank's environmental and social behavior</w:t>
      </w:r>
    </w:p>
    <w:p>
      <w:r>
        <w:br w:type="page"/>
      </w:r>
    </w:p>
    <w:p>
      <w:pPr>
        <w:pStyle w:val="Heading1"/>
      </w:pPr>
      <w:r>
        <w:t>4. IFRS S2: CLIMATE-RELATED DISCLOSURES</w:t>
      </w:r>
    </w:p>
    <w:p>
      <w:pPr>
        <w:pStyle w:val="Heading2"/>
      </w:pPr>
      <w:r>
        <w:t>What is IFRS S2?</w:t>
      </w:r>
    </w:p>
    <w:p>
      <w:r>
        <w:t>IFRS S2 requires entities to disclose information about climate-related risks and opportunities useful to primary users of general-purpose financial reports. Built on the TCFD framework, it uses the same four disclosure pillars.</w:t>
      </w:r>
    </w:p>
    <w:p>
      <w:pPr>
        <w:pStyle w:val="Heading2"/>
      </w:pPr>
      <w:r>
        <w:t>IFRS S2: The Four Disclosure Pillars</w:t>
      </w:r>
    </w:p>
    <w:tbl>
      <w:tblPr>
        <w:tblStyle w:val="LightGrid-Accent1"/>
        <w:tblW w:type="auto" w:w="0"/>
        <w:tblLook w:firstColumn="1" w:firstRow="1" w:lastColumn="0" w:lastRow="0" w:noHBand="0" w:noVBand="1" w:val="04A0"/>
      </w:tblPr>
      <w:tblGrid>
        <w:gridCol w:w="4320"/>
        <w:gridCol w:w="4320"/>
      </w:tblGrid>
      <w:tr>
        <w:tc>
          <w:tcPr>
            <w:tcW w:type="dxa" w:w="4320"/>
          </w:tcPr>
          <w:p>
            <w:r>
              <w:t>Pillar</w:t>
            </w:r>
          </w:p>
        </w:tc>
        <w:tc>
          <w:tcPr>
            <w:tcW w:type="dxa" w:w="4320"/>
          </w:tcPr>
          <w:p>
            <w:r>
              <w:t>What Must Be Disclosed</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1. Governance</w:t>
            </w:r>
          </w:p>
        </w:tc>
        <w:tc>
          <w:tcPr>
            <w:tcW w:type="dxa" w:w="4320"/>
          </w:tcPr>
          <w:p>
            <w:r>
              <w:t>Board and management oversight of climate risks and opportunities; reporting mechanisms; frequency of board review</w:t>
            </w:r>
          </w:p>
        </w:tc>
      </w:tr>
      <w:tr>
        <w:tc>
          <w:tcPr>
            <w:tcW w:type="dxa" w:w="4320"/>
          </w:tcPr>
          <w:p>
            <w:r>
              <w:t>2. Strategy</w:t>
            </w:r>
          </w:p>
        </w:tc>
        <w:tc>
          <w:tcPr>
            <w:tcW w:type="dxa" w:w="4320"/>
          </w:tcPr>
          <w:p>
            <w:r>
              <w:t>Climate risks and opportunities affecting business model, strategy, and financial planning; financial effects; climate scenario analysis</w:t>
            </w:r>
          </w:p>
        </w:tc>
      </w:tr>
      <w:tr>
        <w:tc>
          <w:tcPr>
            <w:tcW w:type="dxa" w:w="4320"/>
          </w:tcPr>
          <w:p>
            <w:r>
              <w:t>3. Risk Management</w:t>
            </w:r>
          </w:p>
        </w:tc>
        <w:tc>
          <w:tcPr>
            <w:tcW w:type="dxa" w:w="4320"/>
          </w:tcPr>
          <w:p>
            <w:r>
              <w:t>Processes for identifying, assessing, and monitoring climate risks; integration with enterprise risk management; risk prioritization</w:t>
            </w:r>
          </w:p>
        </w:tc>
      </w:tr>
      <w:tr>
        <w:tc>
          <w:tcPr>
            <w:tcW w:type="dxa" w:w="4320"/>
          </w:tcPr>
          <w:p>
            <w:r>
              <w:t>4. Metrics &amp; Targets</w:t>
            </w:r>
          </w:p>
        </w:tc>
        <w:tc>
          <w:tcPr>
            <w:tcW w:type="dxa" w:w="4320"/>
          </w:tcPr>
          <w:p>
            <w:r>
              <w:t>Scope 1, 2, and 3 GHG emissions; climate-related targets; financed emissions; cross-industry and financial sector metrics</w:t>
            </w:r>
          </w:p>
        </w:tc>
      </w:tr>
    </w:tbl>
    <w:p>
      <w:r>
        <w:br w:type="page"/>
      </w:r>
    </w:p>
    <w:p>
      <w:pPr>
        <w:pStyle w:val="Heading1"/>
      </w:pPr>
      <w:r>
        <w:t>5. UNDERSTANDING GHG EMISSIONS: SCOPE 1, 2 &amp; 3</w:t>
      </w:r>
    </w:p>
    <w:p>
      <w:r>
        <w:t>IFRS S2 requires disclosure of all three scopes of greenhouse gas emissions. Understanding what falls into each scope is critical for accurate reporting.</w:t>
      </w:r>
    </w:p>
    <w:p>
      <w:pPr>
        <w:pStyle w:val="Heading2"/>
      </w:pPr>
      <w:r>
        <w:t>Scope 1: Direct Emissions</w:t>
      </w:r>
    </w:p>
    <w:p>
      <w:r>
        <w:t>Emissions your bank directly produces from sources it owns or controls. For Community Banks, this includes: generator diesel consumption, company vehicles, air conditioning refrigerant leaks, and any on-site fuel combustion.</w:t>
      </w:r>
    </w:p>
    <w:p>
      <w:r>
        <w:t>Action: Start by recording monthly fuel purchases and convert to CO₂e using emission factors.</w:t>
      </w:r>
    </w:p>
    <w:p>
      <w:pPr>
        <w:pStyle w:val="Heading2"/>
      </w:pPr>
      <w:r>
        <w:t>Scope 2: Indirect Energy Emissions</w:t>
      </w:r>
    </w:p>
    <w:p>
      <w:r>
        <w:t>Emissions from electricity your bank purchases and uses (from the national grid or third-party sources). For Community Banks, this includes: ECG/Northern Electricity bills (grid emissions), purchased solar energy (typically zero emissions), and shared building system energy.</w:t>
      </w:r>
    </w:p>
    <w:p>
      <w:r>
        <w:t>Action: Request ECG electricity bills. Ghana's grid emission factor is approximately 0.35 kg CO₂e per kWh.</w:t>
      </w:r>
    </w:p>
    <w:p>
      <w:pPr>
        <w:pStyle w:val="Heading2"/>
      </w:pPr>
      <w:r>
        <w:t>Scope 3: Value Chain Emissions</w:t>
      </w:r>
    </w:p>
    <w:p>
      <w:r>
        <w:t>All other indirect emissions in your bank's value chain, including financed emissions from your loans. For Community Banks, this includes: financed emissions from businesses you lend to (most significant), business travel, paper supply chain, and office waste.</w:t>
      </w:r>
    </w:p>
    <w:p>
      <w:r>
        <w:t>Action: Financed emissions are the most material Scope 3 category for banks. Start with sector-level estimates of your agri and SME portfolio.</w:t>
      </w:r>
    </w:p>
    <w:p>
      <w:r>
        <w:br w:type="page"/>
      </w:r>
    </w:p>
    <w:p>
      <w:pPr>
        <w:pStyle w:val="Heading1"/>
      </w:pPr>
      <w:r>
        <w:t>6. BUILDING YOUR SUSTAINABILITY REPORT</w:t>
      </w:r>
    </w:p>
    <w:p>
      <w:pPr>
        <w:pStyle w:val="Heading2"/>
      </w:pPr>
      <w:r>
        <w:t>What Goes Into a Sustainability Report?</w:t>
      </w:r>
    </w:p>
    <w:p>
      <w:r>
        <w:t>Your sustainability report should follow the IFRS S1/S2 disclosure structure and include six key sections:</w:t>
      </w:r>
    </w:p>
    <w:p>
      <w:pPr>
        <w:pStyle w:val="Heading3"/>
      </w:pPr>
      <w:r>
        <w:t>1. About the Organisation</w:t>
      </w:r>
    </w:p>
    <w:p>
      <w:r>
        <w:t>Bank name, ARB member number, region, branches, staff, total assets, primary business activities, vision, mission, sustainability commitments</w:t>
      </w:r>
    </w:p>
    <w:p>
      <w:pPr>
        <w:pStyle w:val="Heading3"/>
      </w:pPr>
      <w:r>
        <w:t>2. Governance</w:t>
      </w:r>
    </w:p>
    <w:p>
      <w:r>
        <w:t>Board ESG oversight structure, ESG Officer role, ESG integration in management decision-making, board competency and training</w:t>
      </w:r>
    </w:p>
    <w:p>
      <w:pPr>
        <w:pStyle w:val="Heading3"/>
      </w:pPr>
      <w:r>
        <w:t>3. Strategy</w:t>
      </w:r>
    </w:p>
    <w:p>
      <w:r>
        <w:t>Material sustainability risks and opportunities identified, how climate and social risks affect business model, ESG-aligned products and services</w:t>
      </w:r>
    </w:p>
    <w:p>
      <w:pPr>
        <w:pStyle w:val="Heading3"/>
      </w:pPr>
      <w:r>
        <w:t>4. Risk Management</w:t>
      </w:r>
    </w:p>
    <w:p>
      <w:r>
        <w:t>Climate risk identification and assessment methodology, ESG integration in loan appraisal, high-risk sector exposures, physical risk mapping</w:t>
      </w:r>
    </w:p>
    <w:p>
      <w:pPr>
        <w:pStyle w:val="Heading3"/>
      </w:pPr>
      <w:r>
        <w:t>5. Metrics &amp; Targets</w:t>
      </w:r>
    </w:p>
    <w:p>
      <w:r>
        <w:t>Scope 1 &amp; 2 GHG emissions (tons CO₂e), green loan portfolio (GHS and %), women and youth borrowers (%), energy consumption, community investment</w:t>
      </w:r>
    </w:p>
    <w:p>
      <w:pPr>
        <w:pStyle w:val="Heading3"/>
      </w:pPr>
      <w:r>
        <w:t>6. Assurance &amp; Compliance</w:t>
      </w:r>
    </w:p>
    <w:p>
      <w:r>
        <w:t>Statement of compliance with IFRS S1/S2, third-party assurance opinion (mandatory from Year 2), signed by Chief Sustainability Officer</w:t>
      </w:r>
    </w:p>
    <w:p>
      <w:r>
        <w:br w:type="page"/>
      </w:r>
    </w:p>
    <w:p>
      <w:pPr>
        <w:pStyle w:val="Heading1"/>
      </w:pPr>
      <w:r>
        <w:t>7. GHANA CONTEXT: BOG CLIMATE RISK DIRECTIVE ALIGNMENT</w:t>
      </w:r>
    </w:p>
    <w:p>
      <w:r>
        <w:t>The Bank of Ghana (BoG) issued a Climate Risk Directive requiring all banks to develop and implement climate risk management frameworks. The directive is complementary to IFRS S1/S2, effective 1 January 2026 for banks and 1 January 2027 for SDIs and NBFIs.</w:t>
      </w:r>
    </w:p>
    <w:p>
      <w:pPr>
        <w:pStyle w:val="Heading2"/>
      </w:pPr>
      <w:r>
        <w:t>Unified Framework: BoG Directive and IFRS S1/S2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BoG Directive</w:t>
            </w:r>
          </w:p>
        </w:tc>
        <w:tc>
          <w:tcPr>
            <w:tcW w:type="dxa" w:w="2880"/>
          </w:tcPr>
          <w:p>
            <w:r>
              <w:t>IFRS S1 &amp; S2</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Governance</w:t>
            </w:r>
          </w:p>
        </w:tc>
        <w:tc>
          <w:tcPr>
            <w:tcW w:type="dxa" w:w="2880"/>
          </w:tcPr>
          <w:p>
            <w:r>
              <w:t>Board must have ESG oversight mandate; report quarterly to BoG</w:t>
            </w:r>
          </w:p>
        </w:tc>
        <w:tc>
          <w:tcPr>
            <w:tcW w:type="dxa" w:w="2880"/>
          </w:tcPr>
          <w:p>
            <w:r>
              <w:t>Governance disclosures required in sustainability report</w:t>
            </w:r>
          </w:p>
        </w:tc>
      </w:tr>
      <w:tr>
        <w:tc>
          <w:tcPr>
            <w:tcW w:type="dxa" w:w="2880"/>
          </w:tcPr>
          <w:p>
            <w:r>
              <w:t>Risk Management</w:t>
            </w:r>
          </w:p>
        </w:tc>
        <w:tc>
          <w:tcPr>
            <w:tcW w:type="dxa" w:w="2880"/>
          </w:tcPr>
          <w:p>
            <w:r>
              <w:t>Climate risk must be in ERM framework with BoG reporting</w:t>
            </w:r>
          </w:p>
        </w:tc>
        <w:tc>
          <w:tcPr>
            <w:tcW w:type="dxa" w:w="2880"/>
          </w:tcPr>
          <w:p>
            <w:r>
              <w:t>Risk management processes and ERM integration disclosed</w:t>
            </w:r>
          </w:p>
        </w:tc>
      </w:tr>
      <w:tr>
        <w:tc>
          <w:tcPr>
            <w:tcW w:type="dxa" w:w="2880"/>
          </w:tcPr>
          <w:p>
            <w:r>
              <w:t>Scenario Analysis</w:t>
            </w:r>
          </w:p>
        </w:tc>
        <w:tc>
          <w:tcPr>
            <w:tcW w:type="dxa" w:w="2880"/>
          </w:tcPr>
          <w:p>
            <w:r>
              <w:t>Banks must conduct climate scenario analysis per BoG guidance</w:t>
            </w:r>
          </w:p>
        </w:tc>
        <w:tc>
          <w:tcPr>
            <w:tcW w:type="dxa" w:w="2880"/>
          </w:tcPr>
          <w:p>
            <w:r>
              <w:t>Scenario analysis mandatory to assess climate resilience</w:t>
            </w:r>
          </w:p>
        </w:tc>
      </w:tr>
      <w:tr>
        <w:tc>
          <w:tcPr>
            <w:tcW w:type="dxa" w:w="2880"/>
          </w:tcPr>
          <w:p>
            <w:r>
              <w:t>Disclosure</w:t>
            </w:r>
          </w:p>
        </w:tc>
        <w:tc>
          <w:tcPr>
            <w:tcW w:type="dxa" w:w="2880"/>
          </w:tcPr>
          <w:p>
            <w:r>
              <w:t>Quarterly BoG updates; annual disclosures in financials</w:t>
            </w:r>
          </w:p>
        </w:tc>
        <w:tc>
          <w:tcPr>
            <w:tcW w:type="dxa" w:w="2880"/>
          </w:tcPr>
          <w:p>
            <w:r>
              <w:t>Annual sustainability report alongside financial statements</w:t>
            </w:r>
          </w:p>
        </w:tc>
      </w:tr>
      <w:tr>
        <w:tc>
          <w:tcPr>
            <w:tcW w:type="dxa" w:w="2880"/>
          </w:tcPr>
          <w:p>
            <w:r>
              <w:t>Metrics &amp; Targets</w:t>
            </w:r>
          </w:p>
        </w:tc>
        <w:tc>
          <w:tcPr>
            <w:tcW w:type="dxa" w:w="2880"/>
          </w:tcPr>
          <w:p>
            <w:r>
              <w:t>Physical and transition risk metrics tracked and reported</w:t>
            </w:r>
          </w:p>
        </w:tc>
        <w:tc>
          <w:tcPr>
            <w:tcW w:type="dxa" w:w="2880"/>
          </w:tcPr>
          <w:p>
            <w:r>
              <w:t>GHG emissions, climate targets, cross-industry and financial metrics</w:t>
            </w:r>
          </w:p>
        </w:tc>
      </w:tr>
    </w:tbl>
    <w:p>
      <w:r>
        <w:t>Both frameworks are complementary. Complying with one helps ensure compliance with the other.</w:t>
      </w:r>
    </w:p>
    <w:p>
      <w:r>
        <w:br w:type="page"/>
      </w:r>
    </w:p>
    <w:p>
      <w:pPr>
        <w:pStyle w:val="Heading1"/>
      </w:pPr>
      <w:r>
        <w:t>8. IMPLEMENTATION ROADMAP FOR COMMUNITY BANKS</w:t>
      </w:r>
    </w:p>
    <w:p>
      <w:pPr>
        <w:pStyle w:val="Heading2"/>
      </w:pPr>
      <w:r>
        <w:t>Ghana CB Compliance Timeline</w:t>
      </w:r>
    </w:p>
    <w:p>
      <w:pPr>
        <w:pStyle w:val="ListBullet"/>
      </w:pPr>
      <w:r>
        <w:t>NOW: Begin ESG Governance &amp; Policy Setup</w:t>
      </w:r>
    </w:p>
    <w:p>
      <w:pPr>
        <w:pStyle w:val="ListBullet"/>
      </w:pPr>
      <w:r>
        <w:t>Q1 2026: Complete Gap Assessment &amp; Draft KPIs</w:t>
      </w:r>
    </w:p>
    <w:p>
      <w:pPr>
        <w:pStyle w:val="ListBullet"/>
      </w:pPr>
      <w:r>
        <w:t>Q3 2026: First ESG Data Collection Round</w:t>
      </w:r>
    </w:p>
    <w:p>
      <w:pPr>
        <w:pStyle w:val="ListBullet"/>
      </w:pPr>
      <w:r>
        <w:t>December 2026: Governance Framework Aligned (Banks)</w:t>
      </w:r>
    </w:p>
    <w:p>
      <w:pPr>
        <w:pStyle w:val="ListBullet"/>
      </w:pPr>
      <w:r>
        <w:t>January 2026: BoG Directive Effective (Banks)</w:t>
      </w:r>
    </w:p>
    <w:p>
      <w:pPr>
        <w:pStyle w:val="ListBullet"/>
      </w:pPr>
      <w:r>
        <w:t>Year-end 2026: First Sustainability Report</w:t>
      </w:r>
    </w:p>
    <w:p>
      <w:pPr>
        <w:pStyle w:val="ListBullet"/>
      </w:pPr>
      <w:r>
        <w:t>January 2027: BoG Effective (SDIs/NBFIs)</w:t>
      </w:r>
    </w:p>
    <w:p>
      <w:r>
        <w:t>Note: Banks that have not yet adopted an ESG Policy and appointed an ESG Champion are already behind. The first step is governance — start this week.</w:t>
      </w:r>
    </w:p>
    <w:p>
      <w:pPr>
        <w:pStyle w:val="Heading2"/>
      </w:pPr>
      <w:r>
        <w:t>Your First Steps — Starting This Week</w:t>
      </w:r>
    </w:p>
    <w:p>
      <w:pPr>
        <w:pStyle w:val="Heading3"/>
      </w:pPr>
      <w:r>
        <w:t>1. Adopt the ESG Policy</w:t>
      </w:r>
    </w:p>
    <w:p>
      <w:r>
        <w:t>Timeline: This month</w:t>
      </w:r>
    </w:p>
    <w:p>
      <w:r>
        <w:t>Place board approval of an ESG/Sustainability Policy on the next board agenda. Use the ARB Apex policy template.</w:t>
      </w:r>
    </w:p>
    <w:p>
      <w:pPr>
        <w:pStyle w:val="Heading3"/>
      </w:pPr>
      <w:r>
        <w:t>2. Appoint Your ESG Officer</w:t>
      </w:r>
    </w:p>
    <w:p>
      <w:r>
        <w:t>Timeline: This month</w:t>
      </w:r>
    </w:p>
    <w:p>
      <w:r>
        <w:t>Designate a senior staff member as ESG Coordinator. Enroll them in the ARB Apex ESG Champions programme.</w:t>
      </w:r>
    </w:p>
    <w:p>
      <w:pPr>
        <w:pStyle w:val="Heading3"/>
      </w:pPr>
      <w:r>
        <w:t>3. Complete Gap Assessment</w:t>
      </w:r>
    </w:p>
    <w:p>
      <w:r>
        <w:t>Timeline: Month 1–2</w:t>
      </w:r>
    </w:p>
    <w:p>
      <w:r>
        <w:t>Use the ARB Apex ESG Gap Assessment Tool to understand where your bank stands against IFRS S1/S2 and BoG Directive requirements.</w:t>
      </w:r>
    </w:p>
    <w:p>
      <w:pPr>
        <w:pStyle w:val="Heading3"/>
      </w:pPr>
      <w:r>
        <w:t>4. Start Collecting ESG Data</w:t>
      </w:r>
    </w:p>
    <w:p>
      <w:r>
        <w:t>Timeline: Month 2–4</w:t>
      </w:r>
    </w:p>
    <w:p>
      <w:r>
        <w:t>Build a simple ESG data collection spreadsheet. Start with generator diesel, electricity, women borrowers, and green loans.</w:t>
      </w:r>
    </w:p>
    <w:p>
      <w:pPr>
        <w:pStyle w:val="Heading3"/>
      </w:pPr>
      <w:r>
        <w:t>5. Integrate ESG into Risk Framework</w:t>
      </w:r>
    </w:p>
    <w:p>
      <w:r>
        <w:t>Timeline: Month 4–7</w:t>
      </w:r>
    </w:p>
    <w:p>
      <w:r>
        <w:t>Add climate risk as a named category in your ERM framework. Apply ESG loan due diligence checklist to new agri and SME loans.</w:t>
      </w:r>
    </w:p>
    <w:p>
      <w:pPr>
        <w:pStyle w:val="Heading3"/>
      </w:pPr>
      <w:r>
        <w:t>6. Produce First ESG Report Section</w:t>
      </w:r>
    </w:p>
    <w:p>
      <w:r>
        <w:t>Timeline: Year-end</w:t>
      </w:r>
    </w:p>
    <w:p>
      <w:r>
        <w:t>Prepare a 4–6 page sustainability section for your annual report using the ARB Apex simplified template.</w:t>
      </w:r>
    </w:p>
    <w:p>
      <w:r>
        <w:br w:type="page"/>
      </w:r>
    </w:p>
    <w:p>
      <w:pPr>
        <w:pStyle w:val="Heading1"/>
      </w:pPr>
      <w:r>
        <w:t>9. KEY DATA COLLECTION REQUIREMENTS</w:t>
      </w:r>
    </w:p>
    <w:p>
      <w:r>
        <w:t>Start collecting this data now — you will need it for your first sustainability report. Organize by ESG framework:</w:t>
      </w:r>
    </w:p>
    <w:p>
      <w:pPr>
        <w:pStyle w:val="Heading2"/>
      </w:pPr>
      <w:r>
        <w:t>Environmental (E) Data</w:t>
      </w:r>
    </w:p>
    <w:p>
      <w:pPr>
        <w:pStyle w:val="ListBullet"/>
      </w:pPr>
      <w:r>
        <w:t>Scope 1 GHG Emissions: Monthly generator diesel (litres) converted to CO₂e</w:t>
      </w:r>
    </w:p>
    <w:p>
      <w:pPr>
        <w:pStyle w:val="ListBullet"/>
      </w:pPr>
      <w:r>
        <w:t>Scope 2 GHG Emissions: Monthly electricity bills (kWh) × grid emission factor (0.35 in Ghana)</w:t>
      </w:r>
    </w:p>
    <w:p>
      <w:pPr>
        <w:pStyle w:val="ListBullet"/>
      </w:pPr>
      <w:r>
        <w:t>Energy Consumption: Total electricity + diesel in kWh equivalent per branch</w:t>
      </w:r>
    </w:p>
    <w:p>
      <w:pPr>
        <w:pStyle w:val="ListBullet"/>
      </w:pPr>
      <w:r>
        <w:t>Renewable Energy: Solar generation (kWh) if installed</w:t>
      </w:r>
    </w:p>
    <w:p>
      <w:pPr>
        <w:pStyle w:val="ListBullet"/>
      </w:pPr>
      <w:r>
        <w:t>Paper Consumption: Reams of paper purchased per quarter</w:t>
      </w:r>
    </w:p>
    <w:p>
      <w:pPr>
        <w:pStyle w:val="ListBullet"/>
      </w:pPr>
      <w:r>
        <w:t>Water Use: Monthly water bills or metered consumption</w:t>
      </w:r>
    </w:p>
    <w:p>
      <w:pPr>
        <w:pStyle w:val="Heading2"/>
      </w:pPr>
      <w:r>
        <w:t>Social (S) Data</w:t>
      </w:r>
    </w:p>
    <w:p>
      <w:pPr>
        <w:pStyle w:val="ListBullet"/>
      </w:pPr>
      <w:r>
        <w:t>Women Borrowers: Number and % of female-led loan accounts</w:t>
      </w:r>
    </w:p>
    <w:p>
      <w:pPr>
        <w:pStyle w:val="ListBullet"/>
      </w:pPr>
      <w:r>
        <w:t>Youth Borrowers: Number and % of borrowers aged 18–35</w:t>
      </w:r>
    </w:p>
    <w:p>
      <w:pPr>
        <w:pStyle w:val="ListBullet"/>
      </w:pPr>
      <w:r>
        <w:t>Rural/Underserved Clients: % of customers in rural or underserved areas</w:t>
      </w:r>
    </w:p>
    <w:p>
      <w:pPr>
        <w:pStyle w:val="ListBullet"/>
      </w:pPr>
      <w:r>
        <w:t>Financial Literacy: Training sessions held, attendance, districts covered</w:t>
      </w:r>
    </w:p>
    <w:p>
      <w:pPr>
        <w:pStyle w:val="ListBullet"/>
      </w:pPr>
      <w:r>
        <w:t>Staff Training: ESG training hours per employee per year</w:t>
      </w:r>
    </w:p>
    <w:p>
      <w:pPr>
        <w:pStyle w:val="ListBullet"/>
      </w:pPr>
      <w:r>
        <w:t>Community Investment: GHS spent on CSR/community programmes</w:t>
      </w:r>
    </w:p>
    <w:p>
      <w:pPr>
        <w:pStyle w:val="Heading2"/>
      </w:pPr>
      <w:r>
        <w:t>Governance &amp; Finance (G+F) Data</w:t>
      </w:r>
    </w:p>
    <w:p>
      <w:pPr>
        <w:pStyle w:val="ListBullet"/>
      </w:pPr>
      <w:r>
        <w:t>Board ESG Oversight: Yes/No — board resolution approving ESG policy</w:t>
      </w:r>
    </w:p>
    <w:p>
      <w:pPr>
        <w:pStyle w:val="ListBullet"/>
      </w:pPr>
      <w:r>
        <w:t>ESG Board Agenda Items: Number of ESG items on board agenda per year</w:t>
      </w:r>
    </w:p>
    <w:p>
      <w:pPr>
        <w:pStyle w:val="ListBullet"/>
      </w:pPr>
      <w:r>
        <w:t>Green Loan Portfolio: GHS value and % of green/climate-smart loans</w:t>
      </w:r>
    </w:p>
    <w:p>
      <w:pPr>
        <w:pStyle w:val="ListBullet"/>
      </w:pPr>
      <w:r>
        <w:t>ESG Loan Screening: % of loans with ESG due diligence applied</w:t>
      </w:r>
    </w:p>
    <w:p>
      <w:pPr>
        <w:pStyle w:val="ListBullet"/>
      </w:pPr>
      <w:r>
        <w:t>NPLs in Climate-Exposed Sectors: NPL ratio for agri, fishing, rural sectors</w:t>
      </w:r>
    </w:p>
    <w:p>
      <w:pPr>
        <w:pStyle w:val="ListBullet"/>
      </w:pPr>
      <w:r>
        <w:t>ESG KPI Performance: Progress against each defined ESG target</w:t>
      </w:r>
    </w:p>
    <w:p>
      <w:r>
        <w:br w:type="page"/>
      </w:r>
    </w:p>
    <w:p>
      <w:pPr>
        <w:pStyle w:val="Heading1"/>
      </w:pPr>
      <w:r>
        <w:t>10. COMPLIANCE TIMELINE AND ACTION PLAN</w:t>
      </w:r>
    </w:p>
    <w:p>
      <w:pPr>
        <w:pStyle w:val="Heading2"/>
      </w:pPr>
      <w:r>
        <w:t>Key Milestones and Deadlines</w:t>
      </w:r>
    </w:p>
    <w:tbl>
      <w:tblPr>
        <w:tblStyle w:val="LightGrid-Accent1"/>
        <w:tblW w:type="auto" w:w="0"/>
        <w:tblLook w:firstColumn="1" w:firstRow="1" w:lastColumn="0" w:lastRow="0" w:noHBand="0" w:noVBand="1" w:val="04A0"/>
      </w:tblPr>
      <w:tblGrid>
        <w:gridCol w:w="4320"/>
        <w:gridCol w:w="4320"/>
      </w:tblGrid>
      <w:tr>
        <w:tc>
          <w:tcPr>
            <w:tcW w:type="dxa" w:w="4320"/>
          </w:tcPr>
          <w:p>
            <w:r>
              <w:t>Timeframe</w:t>
            </w:r>
          </w:p>
        </w:tc>
        <w:tc>
          <w:tcPr>
            <w:tcW w:type="dxa" w:w="4320"/>
          </w:tcPr>
          <w:p>
            <w:r>
              <w:t>Key Actions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Now – Q4 2025</w:t>
            </w:r>
          </w:p>
        </w:tc>
        <w:tc>
          <w:tcPr>
            <w:tcW w:type="dxa" w:w="4320"/>
          </w:tcPr>
          <w:p>
            <w:r>
              <w:t>Adopt ESG Policy, Appoint ESG Officer, Complete Gap Assessment, Begin Data Collection</w:t>
            </w:r>
          </w:p>
        </w:tc>
      </w:tr>
      <w:tr>
        <w:tc>
          <w:tcPr>
            <w:tcW w:type="dxa" w:w="4320"/>
          </w:tcPr>
          <w:p>
            <w:r>
              <w:t>Q1 2026</w:t>
            </w:r>
          </w:p>
        </w:tc>
        <w:tc>
          <w:tcPr>
            <w:tcW w:type="dxa" w:w="4320"/>
          </w:tcPr>
          <w:p>
            <w:r>
              <w:t>BoG Directive Effective for Banks; Establish ESG governance structures; Begin BoG reporting</w:t>
            </w:r>
          </w:p>
        </w:tc>
      </w:tr>
      <w:tr>
        <w:tc>
          <w:tcPr>
            <w:tcW w:type="dxa" w:w="4320"/>
          </w:tcPr>
          <w:p>
            <w:r>
              <w:t>Q3–Q4 2026</w:t>
            </w:r>
          </w:p>
        </w:tc>
        <w:tc>
          <w:tcPr>
            <w:tcW w:type="dxa" w:w="4320"/>
          </w:tcPr>
          <w:p>
            <w:r>
              <w:t>Complete ESG data collection cycle, Prepare first sustainability report section, Integrate climate risk in ERM</w:t>
            </w:r>
          </w:p>
        </w:tc>
      </w:tr>
      <w:tr>
        <w:tc>
          <w:tcPr>
            <w:tcW w:type="dxa" w:w="4320"/>
          </w:tcPr>
          <w:p>
            <w:r>
              <w:t>Year-end 2026</w:t>
            </w:r>
          </w:p>
        </w:tc>
        <w:tc>
          <w:tcPr>
            <w:tcW w:type="dxa" w:w="4320"/>
          </w:tcPr>
          <w:p>
            <w:r>
              <w:t>Publish first ESG report section in Annual Report (4–6 pages), Self-assure report</w:t>
            </w:r>
          </w:p>
        </w:tc>
      </w:tr>
      <w:tr>
        <w:tc>
          <w:tcPr>
            <w:tcW w:type="dxa" w:w="4320"/>
          </w:tcPr>
          <w:p>
            <w:r>
              <w:t>Q1 2027</w:t>
            </w:r>
          </w:p>
        </w:tc>
        <w:tc>
          <w:tcPr>
            <w:tcW w:type="dxa" w:w="4320"/>
          </w:tcPr>
          <w:p>
            <w:r>
              <w:t>Begin Year 2 data collection, Engage external assurance provider, Plan full IFRS S1/S2 report</w:t>
            </w:r>
          </w:p>
        </w:tc>
      </w:tr>
      <w:tr>
        <w:tc>
          <w:tcPr>
            <w:tcW w:type="dxa" w:w="4320"/>
          </w:tcPr>
          <w:p>
            <w:r>
              <w:t>End 2027–2028</w:t>
            </w:r>
          </w:p>
        </w:tc>
        <w:tc>
          <w:tcPr>
            <w:tcW w:type="dxa" w:w="4320"/>
          </w:tcPr>
          <w:p>
            <w:r>
              <w:t>Full IFRS S1/S2 compliance; Third-party assurance opinion; Comprehensive sustainability reporting</w:t>
            </w:r>
          </w:p>
        </w:tc>
      </w:tr>
    </w:tbl>
    <w:p>
      <w:pPr>
        <w:pStyle w:val="Heading2"/>
      </w:pPr>
      <w:r>
        <w:t>Key Messages to Remember</w:t>
      </w:r>
    </w:p>
    <w:p>
      <w:pPr>
        <w:pStyle w:val="ListBullet"/>
      </w:pPr>
      <w:r>
        <w:t>IFRS S1 covers ALL sustainability risks — not just climate.</w:t>
      </w:r>
    </w:p>
    <w:p>
      <w:pPr>
        <w:pStyle w:val="ListBullet"/>
      </w:pPr>
      <w:r>
        <w:t>IFRS S2 is climate-specific and uses the four TCFD pillars.</w:t>
      </w:r>
    </w:p>
    <w:p>
      <w:pPr>
        <w:pStyle w:val="ListBullet"/>
      </w:pPr>
      <w:r>
        <w:t>Scopes 1, 2 &amp; 3 are all required (Scope 3 financed emissions are most significant for banks).</w:t>
      </w:r>
    </w:p>
    <w:p>
      <w:pPr>
        <w:pStyle w:val="ListBullet"/>
      </w:pPr>
      <w:r>
        <w:t>BoG Directive and IFRS S1/S2 are aligned and complementary.</w:t>
      </w:r>
    </w:p>
    <w:p>
      <w:pPr>
        <w:pStyle w:val="ListBullet"/>
      </w:pPr>
      <w:r>
        <w:t>The timeline is tight — start ESG governance NOW.</w:t>
      </w:r>
    </w:p>
    <w:p>
      <w:pPr>
        <w:pStyle w:val="ListBullet"/>
      </w:pPr>
      <w:r>
        <w:t>Third-party assurance is mandatory from Year 2.</w:t>
      </w:r>
    </w:p>
    <w:p>
      <w:r>
        <w:br w:type="page"/>
      </w:r>
    </w:p>
    <w:p>
      <w:pPr>
        <w:pStyle w:val="Heading1"/>
      </w:pPr>
      <w:r>
        <w:t>CONCLUSION</w:t>
      </w:r>
    </w:p>
    <w:p>
      <w:r>
        <w:t>IFRS S1 and IFRS S2 represent a historic shift toward standardized, investor-focused sustainability reporting. For community banks in Ghana, compliance is both a regulatory requirement and a strategic opportunity.</w:t>
      </w:r>
    </w:p>
    <w:p>
      <w:r>
        <w:t>The timeline is tight but manageable. By starting governance implementation now, establishing a clear ESG data collection process by Q2 2026, and producing your first ESG report section by year-end 2026, you will be well-positioned for full compliance by the mandatory deadline.</w:t>
      </w:r>
    </w:p>
    <w:p>
      <w:r>
        <w:t>Community banks that embrace IFRS S1/S2 early will differentiate themselves in a rapidly evolving landscape. ESG compliance opens doors to development finance, concessional funding, green lending products, and strengthened stakeholder trust — all of which support long-term business resilience and profitability.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